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19 January 2010</w:t>
      </w:r>
    </w:p>
    <w:p>
      <w:pPr>
        <w:spacing w:before="0" w:after="160" w:line="276" w:lineRule="auto"/>
        <w:jc w:val="both"/>
      </w:pPr>
      <w:r>
        <w:rPr>
          <w:rFonts w:ascii="Times New Roman" w:hAnsi="Times New Roman"/>
          <w:color w:val="000000"/>
          <w:sz w:val="22"/>
        </w:rPr>
        <w:t>To a National Spiritual Assembly</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With respect to your email letter of 16 November 2009, the Universal House of Justice has had the opportunity to consider issues concerning the application of the requirement of consent of parents to marriage, and it has asked us to respond as follows.</w:t>
      </w:r>
    </w:p>
    <w:p>
      <w:pPr>
        <w:spacing w:before="0" w:after="160" w:line="276" w:lineRule="auto"/>
        <w:jc w:val="both"/>
      </w:pPr>
      <w:r>
        <w:rPr>
          <w:rFonts w:ascii="Times New Roman" w:hAnsi="Times New Roman"/>
          <w:color w:val="000000"/>
          <w:sz w:val="22"/>
        </w:rPr>
        <w:t>In stipulating His law of marriage, Bahá’u’lláh included a requirement for the consent of the parents. He states:</w:t>
      </w:r>
    </w:p>
    <w:p>
      <w:pPr>
        <w:spacing w:before="0" w:after="160" w:line="276" w:lineRule="auto"/>
        <w:jc w:val="both"/>
      </w:pPr>
      <w:r>
        <w:rPr>
          <w:rFonts w:ascii="Times New Roman" w:hAnsi="Times New Roman"/>
          <w:color w:val="000000"/>
          <w:sz w:val="22"/>
        </w:rPr>
        <w:t>It hath been laid down in the Bayán that marriage is dependent upon the consent of both parties. Desiring to establish love, unity and harmony amidst Our servants, We have conditioned it, once the couple’s wish is known, upon the permission of their parents, lest enmity and rancour should arise amongst them. And in this We have yet other purposes. Thus hath Our commandment been ordained.</w:t>
      </w:r>
    </w:p>
    <w:p>
      <w:pPr>
        <w:spacing w:before="0" w:after="160" w:line="276" w:lineRule="auto"/>
        <w:jc w:val="both"/>
      </w:pPr>
      <w:r>
        <w:rPr>
          <w:rFonts w:ascii="Times New Roman" w:hAnsi="Times New Roman"/>
          <w:color w:val="000000"/>
          <w:sz w:val="22"/>
        </w:rPr>
        <w:t>The intent of the requirement is further elucidated in a letter written on behalf of the Guardian.</w:t>
      </w:r>
    </w:p>
    <w:p>
      <w:pPr>
        <w:spacing w:before="0" w:after="160" w:line="276" w:lineRule="auto"/>
        <w:jc w:val="both"/>
      </w:pPr>
      <w:r>
        <w:rPr>
          <w:rFonts w:ascii="Times New Roman" w:hAnsi="Times New Roman"/>
          <w:color w:val="000000"/>
          <w:sz w:val="22"/>
        </w:rPr>
        <w:t>Bahá’u’lláh has clearly stated the consent of all living parents is required for a Bahá’í marriage. This applies whether the parents are Bahá’ís or non-Bahá’ís, divorced for years or not. This great law He has laid down to strengthen the social fabric, to knit closer the ties of the home, to place a certain gratitude and respect in the hearts of the children for those who have given them life and sent their souls out on the eternal journey towards their Creator.</w:t>
      </w:r>
    </w:p>
    <w:p>
      <w:pPr>
        <w:spacing w:before="0" w:after="160" w:line="276" w:lineRule="auto"/>
        <w:jc w:val="both"/>
      </w:pPr>
      <w:r>
        <w:rPr>
          <w:rFonts w:ascii="Times New Roman" w:hAnsi="Times New Roman"/>
          <w:color w:val="000000"/>
          <w:sz w:val="22"/>
        </w:rPr>
        <w:t>However, in a letter dated 15 November 1940 to the National Spiritual Assembly of Persia written on behalf of Shoghi Effendi, the following statement was made.</w:t>
      </w:r>
    </w:p>
    <w:p>
      <w:pPr>
        <w:spacing w:before="0" w:after="160" w:line="276" w:lineRule="auto"/>
        <w:jc w:val="both"/>
      </w:pPr>
      <w:r>
        <w:rPr>
          <w:rFonts w:ascii="Times New Roman" w:hAnsi="Times New Roman"/>
          <w:color w:val="000000"/>
          <w:sz w:val="22"/>
        </w:rPr>
        <w:t>… in some cases it is permissible under the law of God either for the parents or for the children to disown the other, to deprive the other of certain rights, to sever family ties and to renounce their responsibilities. However, the law thereof is to be decided by the Universal House of Justice.</w:t>
      </w:r>
    </w:p>
    <w:p>
      <w:pPr>
        <w:spacing w:before="0" w:after="160" w:line="276" w:lineRule="auto"/>
        <w:jc w:val="both"/>
      </w:pPr>
      <w:r>
        <w:rPr>
          <w:rFonts w:ascii="Times New Roman" w:hAnsi="Times New Roman"/>
          <w:color w:val="000000"/>
          <w:sz w:val="22"/>
        </w:rPr>
        <w:t>The House of Justice has concluded that it is timely to further clarify the range of circumstances in which a child may seek to be free of the requirement to obtain parental consent for marriage. Three areas have been identified in this respect.</w:t>
      </w:r>
    </w:p>
    <w:p>
      <w:pPr>
        <w:spacing w:before="0" w:after="160" w:line="276" w:lineRule="auto"/>
        <w:jc w:val="both"/>
      </w:pPr>
      <w:r>
        <w:rPr>
          <w:rFonts w:ascii="Times New Roman" w:hAnsi="Times New Roman"/>
          <w:color w:val="000000"/>
          <w:sz w:val="22"/>
        </w:rPr>
        <w:t>First, a child may be permitted to marry without seeking the consent of a man who denies paternity and never assumed the responsibilities of parenthood. Marriage is also permitted without seeking the consent of a parent who abandoned the child from infancy. Furthermore, a child conceived as a consequence of rape is not obliged to seek consent of the male offender.</w:t>
      </w:r>
    </w:p>
    <w:p>
      <w:pPr>
        <w:spacing w:before="0" w:after="160" w:line="276" w:lineRule="auto"/>
        <w:jc w:val="both"/>
      </w:pPr>
      <w:r>
        <w:rPr>
          <w:rFonts w:ascii="Times New Roman" w:hAnsi="Times New Roman"/>
          <w:color w:val="000000"/>
          <w:sz w:val="22"/>
        </w:rPr>
        <w:t>Second, the consent of a parent is not required if he or she engaged, or was complicit, in the sexual or physical abuse of a child. The application of this decision will require careful investigation and wisdom on the part of the responsible Bahá’í institutions. While many forms of treatment of a child may be considered unfair or harsh, the institutions cannot diminish the standard for defining or assessing abuse, lest the parents be deprived too easily of their right to consent. Parents are liable to err and might be immoderate in the exercise of physical or verbal chastisement. In a permissive age, strict discipline or authoritarian behavior can be perceived as a form of abuse, even by some psychologists. Furthermore, if an individual finds it impossible to change the decision of a parent unwilling to give consent, he or she might be tempted to circumvent the requirement by exaggerating past behavior of the parent to make it seem like abuse. Nevertheless, it is unjust to require a true victim of abuse to renew ties with, or submit to the will of, an abuser. In order to deprive the parent of the right to consent, the Assembly must be satisfied that abuse has actually occurred. To this end, it may find it necessary to seek corroboration from reliable witnesses or the views of qualified professionals.</w:t>
      </w:r>
    </w:p>
    <w:p>
      <w:pPr>
        <w:spacing w:before="0" w:after="160" w:line="276" w:lineRule="auto"/>
        <w:jc w:val="both"/>
      </w:pPr>
      <w:r>
        <w:rPr>
          <w:rFonts w:ascii="Times New Roman" w:hAnsi="Times New Roman"/>
          <w:color w:val="000000"/>
          <w:sz w:val="22"/>
        </w:rPr>
        <w:t>Finally, the right of the parent to consent can be forfeited if he or she seeks to use the requirement for consent in a manner which subverts the spirit and intent of the law or obstructs an individual’s right as a believer in Bahá’u’lláh to marry in accordance with the provisions of Bahá’í law. For example, ‘Abdu’l-Bahá states, “As for the question regarding marriage under the Law of God: first thou must choose one who is pleasing to thee, and then the matter is subject to the consent of father and mother.” Yet, in some instances, a parent has refused consent in order to deprive the child of the right to choose and to force the child to marry someone of the parent’s choosing. In other instances, a parent has denied consent in order to try to prevent the child from marrying anyone.</w:t>
      </w:r>
    </w:p>
    <w:p>
      <w:pPr>
        <w:spacing w:before="0" w:after="160" w:line="276" w:lineRule="auto"/>
        <w:jc w:val="both"/>
      </w:pPr>
      <w:r>
        <w:rPr>
          <w:rFonts w:ascii="Times New Roman" w:hAnsi="Times New Roman"/>
          <w:color w:val="000000"/>
          <w:sz w:val="22"/>
        </w:rPr>
        <w:t>A parent also violates the spirit of the marriage law if he or she uses the requirement for consent to exert unjustifiable control over factors that are unrelated to the prospective marriage. An example of this transgression is a parent who threatens to withhold consent as a means of manipulating the child’s behavior to create estrangement between the child and the other parent. Another example is a parent who misuses the law to extract financial benefits or other concessions from the child or the child’s other parent.</w:t>
      </w:r>
    </w:p>
    <w:p>
      <w:pPr>
        <w:spacing w:before="0" w:after="160" w:line="276" w:lineRule="auto"/>
        <w:jc w:val="both"/>
      </w:pPr>
      <w:r>
        <w:rPr>
          <w:rFonts w:ascii="Times New Roman" w:hAnsi="Times New Roman"/>
          <w:color w:val="000000"/>
          <w:sz w:val="22"/>
        </w:rPr>
        <w:t>It is important for an Assembly to distinguish such violations of the spirit of the law from the reasons a parent might have for denying consent to marry in a particular instance. Parents have a wide degree of latitude to determine how they choose to exercise their responsibility. As long as the spirit of the law is not violated they may refuse consent, and their conclusion is binding, even if it appears to the children or to others that they are being unreasonable or are acting out of prejudice. Ultimately, parents are responsible before God for their decision.</w:t>
      </w:r>
    </w:p>
    <w:p>
      <w:pPr>
        <w:spacing w:before="0" w:after="160" w:line="276" w:lineRule="auto"/>
        <w:jc w:val="both"/>
      </w:pPr>
      <w:r>
        <w:rPr>
          <w:rFonts w:ascii="Times New Roman" w:hAnsi="Times New Roman"/>
          <w:color w:val="000000"/>
          <w:sz w:val="22"/>
        </w:rPr>
        <w:t>When cases arise involving any of the circumstances discussed above, a Local Spiritual Assembly should ascertain all relevant facts and refer the matter for consideration to your National Spiritual Assembly. You should exercise care not to unduly invalidate the rights of the parents; yet, while children have the obligation to abide by the Bahá’í marriage law, they also have the right to be protected from the excesses imposed by parents that violate the spirit and intent of that law. Should particular situations arise for which no clear solution is apparent, you should refer the matter to the House of Justice.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Considerations Related to Parental Consent for Marriage</dc:title>
  <dc:subject>Bahá'í Message #147 (19 January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