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29 October 2010</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With joyful and grateful hearts we announce that the restoration and conservation work on the Riḍván Garden in the Holy Land, which includes a circulating water system that recreates the island and an Ottoman flour mill that was in use during the time of Bahá’u’lláh, has now been successfully completed.</w:t>
      </w:r>
    </w:p>
    <w:p>
      <w:pPr>
        <w:spacing w:before="0" w:after="160" w:line="276" w:lineRule="auto"/>
        <w:jc w:val="both"/>
      </w:pPr>
      <w:r>
        <w:rPr>
          <w:rFonts w:ascii="Times New Roman" w:hAnsi="Times New Roman"/>
          <w:color w:val="000000"/>
          <w:sz w:val="22"/>
        </w:rPr>
        <w:t>That site of such exquisite beauty, designated by Him as “Our Verdant Isle”, is once again open to pilgrims, who will have the opportunity to experience the tranquillity of the surroundings that greeted the Blessed Beauty when He visited it at the termination of His nine-year confinement within the walls of the prison-city of ‘Akká.</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Completion of Work on the Riḍván Garden</dc:title>
  <dc:subject>Bahá'í Message #160 (29 October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