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for the Five Year Plan, 2011–2016</w:t>
      </w:r>
    </w:p>
    <w:p>
      <w:pPr>
        <w:spacing w:before="0" w:after="160" w:line="276" w:lineRule="auto"/>
        <w:jc w:val="both"/>
      </w:pPr>
      <w:r>
        <w:rPr>
          <w:rFonts w:ascii="Times New Roman" w:hAnsi="Times New Roman"/>
          <w:color w:val="000000"/>
          <w:sz w:val="22"/>
        </w:rPr>
        <w:t>19 October 2017</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At the request of the Universal House of Justice, we enclose for your Assembly three complimentary copies of The Five Year Plan, 2011–2016: Summary of Achievements and Learning, prepared under the supervision of the International Teaching Centre. Also enclosed are two copies for each Regional Bahá’í Council and national and regional training institute under your jurisdiction. The volume illustrates the endeavours of the Bahá’í community in furthering the process of growth, and highlights, among other themes, advances made toward releasing the potential of the youth, enhancing institutional capacity, and the establishment of Houses of Worship. This work also describes activities undertaken by the Bahá’í community in the areas of social action and participation in the discourses of society, as well as developments that have unfolded at the Bahá’í World Centre. The friends in your community will no doubt be pleased to read of the manifold achievements of the Bahá’í community in the course of the previous Plan, and draw much inspiration from the accounts of the services of the believers across the world….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Summary of Achievements and Learning</dc:title>
  <dc:subject>Bahá'í Message #295 (for the Five Year Plan, 2011–2016)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