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 November 2011</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At the request of the Universal House of Justice, we enclose for your Assemblies three complimentary copies and for each Regional Bahá’í Council under your jurisdiction one copy of The Five Year Plan, 2006–2011: Summary of Achievements and Learning, prepared under the supervision of the International Teaching Centre. Although its primary focus is on the expansion and consolidation of the Faith, this work also describes many of the Bahá’í community’s activities in the areas of social and economic development; relations with government, civil society, and the public; and achievements at the Bahá’í World Centre. Through careful reading,</w:t>
      </w:r>
    </w:p>
    <w:p>
      <w:pPr>
        <w:spacing w:before="0" w:after="160" w:line="276" w:lineRule="auto"/>
        <w:jc w:val="both"/>
      </w:pPr>
      <w:r>
        <w:rPr>
          <w:rFonts w:ascii="Times New Roman" w:hAnsi="Times New Roman"/>
          <w:color w:val="000000"/>
          <w:sz w:val="22"/>
        </w:rPr>
        <w:t>one may gain an appreciation of the progress made to date and be inspired to meet the opportunities that lie ahead….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Summary of Achievements and Learning for the Five Year Plan, 2006–2011</dc:title>
  <dc:subject>Bahá'í Message #179 (3 November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