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November 2012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In view of the heavy burden of work resting upon members of the Universal House of Justice, Dr. Farzam Arbab and Mr. Kiser Barnes have, after prayerful consideration as to the best interests of the Cause of God and in light of their advanced ages, requested permission to relinquish their membership on the Universal House of Justice in accordance with Article V.2.(c) of its Constitution.</w:t>
      </w:r>
    </w:p>
    <w:p>
      <w:pPr>
        <w:spacing w:before="0" w:after="160" w:line="276" w:lineRule="auto"/>
        <w:jc w:val="both"/>
      </w:pPr>
      <w:r>
        <w:rPr>
          <w:rFonts w:ascii="Times New Roman" w:hAnsi="Times New Roman"/>
          <w:color w:val="000000"/>
          <w:sz w:val="22"/>
        </w:rPr>
        <w:t>It is with deep regret that the House of Justice has accepted the resignation of these much-loved members. Dr. Arbab was first elected to the Body in 1993 and Mr. Barnes in 2000, and they will continue to serve on the institution until the date of the completion of the election of the Universal House of Justice at the Eleventh International Bahá’í Convention to be held at Riḍván 2013.</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#191 (5 November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