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31 July 2013</w:t>
      </w:r>
    </w:p>
    <w:p>
      <w:pPr>
        <w:spacing w:before="0" w:after="360"/>
        <w:jc w:val="left"/>
      </w:pPr>
      <w:r>
        <w:rPr>
          <w:rFonts w:ascii="Times New Roman" w:hAnsi="Times New Roman"/>
          <w:color w:val="000000"/>
          <w:sz w:val="22"/>
        </w:rPr>
        <w:t>To the National Spiritual Assembly</w:t>
      </w:r>
    </w:p>
    <w:p>
      <w:pPr>
        <w:spacing w:before="0" w:after="160" w:line="276" w:lineRule="auto"/>
        <w:jc w:val="both"/>
      </w:pPr>
      <w:r>
        <w:rPr>
          <w:rFonts w:ascii="Times New Roman" w:hAnsi="Times New Roman"/>
          <w:color w:val="000000"/>
          <w:sz w:val="22"/>
        </w:rPr>
        <w:t>of the Bahá’ís of the United States</w:t>
      </w:r>
    </w:p>
    <w:p>
      <w:pPr>
        <w:spacing w:before="0" w:after="160" w:line="276" w:lineRule="auto"/>
        <w:jc w:val="both"/>
      </w:pPr>
      <w:r>
        <w:rPr>
          <w:rFonts w:ascii="Times New Roman" w:hAnsi="Times New Roman"/>
          <w:color w:val="000000"/>
          <w:sz w:val="22"/>
        </w:rPr>
        <w:t>It was with great sorrow that we received news of the passing of dearly loved Amin Banani, whose steadfast loyalty and dedication to the Faith will be long remembered. Whether in the pioneering or administrative fields, he served with distinction—a service that was ever characterized by humility and self-effacement. In the earliest stages of the Ten Year Crusade, he and his wife were honored by the Guardian with the title Knights of Bahá’u’lláh for pioneering in Greece. Among his many other endeavors carried out for the progress of the Cause, we recall with heartfelt admiration and gratitude his staunch and effective defense of the Faith, the signal contributions he made to the advancement of both Bahá’í and Iranian studies, and his twenty-six years of service to the institution of Ḥuqúqu’lláh. In all respects, his was a life that exemplified unwavering devotion to the Cause and abiding commitment to its high ideals.</w:t>
      </w:r>
    </w:p>
    <w:p>
      <w:pPr>
        <w:spacing w:before="0" w:after="160" w:line="276" w:lineRule="auto"/>
        <w:jc w:val="both"/>
      </w:pPr>
      <w:r>
        <w:rPr>
          <w:rFonts w:ascii="Times New Roman" w:hAnsi="Times New Roman"/>
          <w:color w:val="000000"/>
          <w:sz w:val="22"/>
        </w:rPr>
        <w:t>Our deepest condolences are extended to the members of his dear family, including his wife, Sheila, and his children. In our supplications in the Holy Shrines, we will offer prayers for the progress of his noble soul throughout the eternal realms.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Passing of Amin Banani</dc:title>
  <dc:subject>Bahá'í Message #213 (31 July 2013)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