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20 January 2015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asked us to write to you concerning the new version of the Bahai.org website. This site was available for preview while final adjustments were taking place. The preview stage has now ended and the site has been officially launched. As will be apparent when visiting the site, its content is organized into three parts—“What Bahá’ís Believe”, “What Bahá’ís Do”, and a significantly revised presentation of the Bahá’í Reference Library.</w:t>
      </w:r>
    </w:p>
    <w:p>
      <w:pPr>
        <w:spacing w:before="0" w:after="160" w:line="276" w:lineRule="auto"/>
        <w:jc w:val="both"/>
      </w:pPr>
      <w:r>
        <w:rPr>
          <w:rFonts w:ascii="Times New Roman" w:hAnsi="Times New Roman"/>
          <w:color w:val="000000"/>
          <w:sz w:val="22"/>
        </w:rPr>
        <w:t>You are welcome to share this information with the friends in your community.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Bahai.org Website</dc:title>
  <dc:subject>Bahá'í Message #238 (20 January 2015)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