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 September 2015</w:t>
      </w:r>
    </w:p>
    <w:p>
      <w:pPr>
        <w:spacing w:before="0" w:after="360"/>
        <w:jc w:val="left"/>
      </w:pPr>
      <w:r>
        <w:rPr>
          <w:rFonts w:ascii="Times New Roman" w:hAnsi="Times New Roman"/>
          <w:color w:val="000000"/>
          <w:sz w:val="22"/>
        </w:rPr>
        <w:t>To the National Spiritual Assembly of the Bahá’ís of the United States</w:t>
      </w:r>
    </w:p>
    <w:p>
      <w:pPr>
        <w:spacing w:before="0" w:after="160" w:line="276" w:lineRule="auto"/>
        <w:jc w:val="both"/>
      </w:pPr>
      <w:r>
        <w:rPr>
          <w:rFonts w:ascii="Times New Roman" w:hAnsi="Times New Roman"/>
          <w:color w:val="000000"/>
          <w:sz w:val="22"/>
        </w:rPr>
        <w:t xml:space="preserve">We were deeply saddened to learn of the passing of dearly loved and highly esteemed </w:t>
        <w:br/>
        <w:t>Suheil Bushrui, whose many decades of tireless service to the Cause of God and to humanity evoke profound appreciation. His widely acclaimed scholarly contributions to Arabic and English literature were animated by a lifelong yearning—inspired by the Bahá’í ideals of the oneness of humanity and religious truth—to introduce the rich literary, cultural and spiritual heritage of East and West to each other and to disclose the universality of the human spirit underlying them. Above all else, what distinguished his extraordinary record of academic and other accomplishments was the radiance of a sterling character illumined by attributes of the soul that call to mind ‘Abdu’l-Bahá’s depiction of the learned as those “versed in the secrets of divine wisdom and informed of the inner realities of the sacred Books; who wear in their hearts the jewel of the fear of God, and whose luminous faces shine with the lights of salvation”. Kindly convey our loving, heartfelt sympathy to his beloved Mary, their daughter Nadia and other family members and assure them of our ardent supplications for the progress of his soul throughout the worlds of God.</w:t>
      </w:r>
    </w:p>
    <w:p>
      <w:pPr>
        <w:spacing w:before="0" w:after="160" w:line="276" w:lineRule="auto"/>
        <w:jc w:val="both"/>
      </w:pPr>
      <w:r>
        <w:rPr>
          <w:rFonts w:ascii="Times New Roman" w:hAnsi="Times New Roman"/>
          <w:color w:val="000000"/>
          <w:sz w:val="22"/>
        </w:rPr>
        <w:t>In recognition of a life lived in utter consecration to unity and peace, we are calling for memorial gatherings to be held in his honor in the Arab region.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Suheil Bushrui</dc:title>
  <dc:subject>Bahá'í Message #245 (3 September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