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 February 2016</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Further to the email letters dated 18 September 2014 and 20 January 2015 sent on behalf of the Universal House of Justice to all National Spiritual Assemblies regarding the new version of the Bahai.org website,  we have been asked to inform you that the core of the sections entitled “What Bahá’ís Believe” and “What Bahá’ís Do” now also appears on the site in Arabic, Chinese, French, Persian, Russian, and Spanish. Efforts are under way to complete the translation process for the remainder of these two sections. Additionally, the same sections will also begin to become available in Hindi and Portuguese in the next three months.</w:t>
      </w:r>
    </w:p>
    <w:p>
      <w:pPr>
        <w:spacing w:before="0" w:after="160" w:line="276" w:lineRule="auto"/>
        <w:jc w:val="both"/>
      </w:pPr>
      <w:r>
        <w:rPr>
          <w:rFonts w:ascii="Times New Roman" w:hAnsi="Times New Roman"/>
          <w:color w:val="000000"/>
          <w:sz w:val="22"/>
        </w:rPr>
        <w:t>The efflorescence of the site through the introduction of these major international languages, covering a significant portion of the world’s population, represents a notable development, and it is hoped that many people will come to make use of the valuable new resource made thus available.</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Updates to the Bahai.org Website</dc:title>
  <dc:subject>Bahá'í Message #252 (1 February 2016)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