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January 2017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will recall, in July 2015, in anticipation of the first universal observance of the Twin Holy Birthdays of the Báb and Bahá’u’lláh according to the Badí‘ calendar, the Universal House of Justice released three Tablets from the volume Days of Remembrance: Selections from the Writings of Bahá’u’lláh for Bahá’í Holy Days then in preparation. The House of Justice is pleased to announce the publication of this work and to present your National Spiritual Assembly with a complimentary copy.</w:t>
      </w:r>
    </w:p>
    <w:p>
      <w:pPr>
        <w:spacing w:before="0" w:after="160" w:line="276" w:lineRule="auto"/>
        <w:jc w:val="both"/>
      </w:pPr>
      <w:r>
        <w:rPr>
          <w:rFonts w:ascii="Times New Roman" w:hAnsi="Times New Roman"/>
          <w:color w:val="000000"/>
          <w:sz w:val="22"/>
        </w:rPr>
        <w:t>The volume contains forty-five selections from the Pen of Bahá’u’lláh that were specifically revealed for, or which pertain to, nine Bahá’í Holy Days. Most of the Tablets and excerpts comprising the volume appear here for the first time in English translation….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of Days of Remembrance</dc:title>
  <dc:subject>Bahá'í Message #276 (17 January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