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17 April 2017</w:t>
      </w:r>
    </w:p>
    <w:p>
      <w:pPr>
        <w:spacing w:before="0" w:after="360"/>
        <w:jc w:val="left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80"/>
        <w:jc w:val="left"/>
      </w:pPr>
      <w:r>
        <w:rPr>
          <w:rFonts w:ascii="Times New Roman" w:hAnsi="Times New Roman"/>
          <w:color w:val="000000"/>
          <w:sz w:val="22"/>
        </w:rPr>
        <w:t>Dear Bahá’í Friends,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Owing to compelling personal circumstances, Mr. Ramchand Coonjul has asked to be relieved of his responsibilities as a member of the International Teaching Centre, and we have assented to his request. Mr. Coonjul has contributed significantly to the work of the Faith as a member of that institution, and we pray for divine confirmations to surround him as he continues his labours in other fields of service to the Cause.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Bahá’í greetings,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from Service of a Member of the International Teaching Centre</dc:title>
  <dc:subject>Bahá'í Message #282 (17 April 2017)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