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25 March 2018</w:t>
      </w:r>
    </w:p>
    <w:p>
      <w:pPr>
        <w:spacing w:before="0" w:after="360"/>
        <w:jc w:val="left"/>
      </w:pPr>
      <w:r>
        <w:rPr>
          <w:rFonts w:ascii="Times New Roman" w:hAnsi="Times New Roman"/>
          <w:color w:val="000000"/>
          <w:sz w:val="22"/>
        </w:rPr>
        <w:t>To all National Spiritual Assemblies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In light of the message dated 10 July 2014 to the Bahá’ís of the world calling for the adoption of provisions for the common implementation of the Badí‘ calendar, the Universal House of Justice has instructed that four explanatory footnotes be added to the Notes section of The Kitáb-i-Aqdas: The Most Holy Book. Accordingly, the following changes should be incorporated into all future editions of the book (page references are to the United States Bahá’í Publishing Trust’s pocket-size edition, 2009 printing).</w:t>
      </w:r>
    </w:p>
    <w:p>
      <w:pPr>
        <w:spacing w:before="0" w:after="160" w:line="276" w:lineRule="auto"/>
        <w:jc w:val="both"/>
      </w:pPr>
      <w:r>
        <w:rPr>
          <w:rFonts w:ascii="Times New Roman" w:hAnsi="Times New Roman"/>
          <w:color w:val="000000"/>
          <w:sz w:val="22"/>
        </w:rPr>
        <w:t>Note 25, page 179, line 4: insert an asterisk after “(see note 26).” and place the following footnote at the bottom of the page:</w:t>
      </w:r>
    </w:p>
    <w:p>
      <w:pPr>
        <w:spacing w:before="0" w:after="160" w:line="276" w:lineRule="auto"/>
        <w:jc w:val="both"/>
      </w:pPr>
      <w:r>
        <w:rPr>
          <w:rFonts w:ascii="Times New Roman" w:hAnsi="Times New Roman"/>
          <w:color w:val="000000"/>
          <w:sz w:val="22"/>
        </w:rPr>
        <w:t>On 10 July 2014, the Universal House of Justice announced the adoption of provisions for the common implementation of the Badí‘ calendar beginning at Naw-Rúz 172 (20 March 2015). The first day of the month of fasting now varies according to the day on which Naw-Rúz of the coming year falls.</w:t>
      </w:r>
    </w:p>
    <w:p>
      <w:pPr>
        <w:spacing w:before="0" w:after="160" w:line="276" w:lineRule="auto"/>
        <w:jc w:val="both"/>
      </w:pPr>
      <w:r>
        <w:rPr>
          <w:rFonts w:ascii="Times New Roman" w:hAnsi="Times New Roman"/>
          <w:color w:val="000000"/>
          <w:sz w:val="22"/>
        </w:rPr>
        <w:t>Note 26, page 179, line 31: after “left to the decision of the Universal House of Justice.”, insert an asterisk (or the appropriate symbol) and place the following footnote at the bottom of the page:</w:t>
      </w:r>
    </w:p>
    <w:p>
      <w:pPr>
        <w:spacing w:before="0" w:after="160" w:line="276" w:lineRule="auto"/>
        <w:jc w:val="both"/>
      </w:pPr>
      <w:r>
        <w:rPr>
          <w:rFonts w:ascii="Times New Roman" w:hAnsi="Times New Roman"/>
          <w:color w:val="000000"/>
          <w:sz w:val="22"/>
        </w:rPr>
        <w:t>In its message dated 10 July 2014 concerning the common implementation of the Badí‘ calendar beginning at Naw-Rúz 172, the Universal House of Justice designated Ṭihrán as the spot on the earth that would serve as the standard for determining, by means of astronomical computations from reliable sources, the moment of the vernal equinox in the northern hemisphere and thereby the day of Naw-Rúz.</w:t>
      </w:r>
    </w:p>
    <w:p>
      <w:pPr>
        <w:spacing w:before="0" w:after="160" w:line="276" w:lineRule="auto"/>
        <w:jc w:val="both"/>
      </w:pPr>
      <w:r>
        <w:rPr>
          <w:rFonts w:ascii="Times New Roman" w:hAnsi="Times New Roman"/>
          <w:color w:val="000000"/>
          <w:sz w:val="22"/>
        </w:rPr>
        <w:t>Note 138, page 224, line 21: after “solar or lunar basis.” insert an asterisk and place the following footnote at the bottom of the page:</w:t>
      </w:r>
    </w:p>
    <w:p>
      <w:pPr>
        <w:spacing w:before="0" w:after="160" w:line="276" w:lineRule="auto"/>
        <w:jc w:val="both"/>
      </w:pPr>
      <w:r>
        <w:rPr>
          <w:rFonts w:ascii="Times New Roman" w:hAnsi="Times New Roman"/>
          <w:color w:val="000000"/>
          <w:sz w:val="22"/>
        </w:rPr>
        <w:t>In its message dated 10 July 2014 concerning the common implementation of the Badí‘ calendar, the Universal House of Justice stated that the Festivals of the Twin Birthdays are to be observed on the first and the second day following the occurrence of the eighth new moon after Naw-Rúz, as determined in advance by astronomical tables using Ṭihrán as the point of reference.</w:t>
      </w:r>
    </w:p>
    <w:p>
      <w:pPr>
        <w:spacing w:before="0" w:after="160" w:line="276" w:lineRule="auto"/>
        <w:jc w:val="both"/>
      </w:pPr>
      <w:r>
        <w:rPr>
          <w:rFonts w:ascii="Times New Roman" w:hAnsi="Times New Roman"/>
          <w:color w:val="000000"/>
          <w:sz w:val="22"/>
        </w:rPr>
        <w:t>Note 147, page 227, line 13: after “to the solar year.”, insert an asterisk and place the following footnote at the bottom of the page:</w:t>
      </w:r>
    </w:p>
    <w:p>
      <w:pPr>
        <w:spacing w:before="0" w:after="160" w:line="276" w:lineRule="auto"/>
        <w:jc w:val="both"/>
      </w:pPr>
      <w:r>
        <w:rPr>
          <w:rFonts w:ascii="Times New Roman" w:hAnsi="Times New Roman"/>
          <w:color w:val="000000"/>
          <w:sz w:val="22"/>
        </w:rPr>
        <w:t>With the implementation of the Badí‘ calendar as announced by the Universal House of Justice in its message dated 10 July 2014, the number of intercalary days varies according to the timing of the vernal equinox in successive years.</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Footnotes to the Notes Section of The Kitáb-i-Aqdas</dc:title>
  <dc:subject>Bahá'í Message #302 (25 March 2018)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