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color w:val="000000"/>
          <w:sz w:val="22"/>
        </w:rPr>
        <w:t>30 April 2018</w:t>
      </w:r>
    </w:p>
    <w:p>
      <w:pPr>
        <w:spacing w:before="0" w:after="360"/>
        <w:jc w:val="left"/>
      </w:pPr>
      <w:r>
        <w:rPr>
          <w:rFonts w:ascii="Times New Roman" w:hAnsi="Times New Roman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newly elected members of the Universal House of Justice are Paul Lample, Chuungu Malitonga, Payman Mohajer, Shahriar Razavi, Stephen Hall, Ayman Rouhani, Stephen Birkland, Juan Francisco Mora, Praveen Mallik.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Election of the Universal House of Justice</dc:title>
  <dc:subject>Bahá'í Message #305 (30 April 2018)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