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May 2018</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letter inquiring about certain issues being discussed among the friends pertaining to the infallibility of the Universal House of Justice was received…. We have been asked to respond as follows….</w:t>
      </w:r>
    </w:p>
    <w:p>
      <w:pPr>
        <w:spacing w:before="0" w:after="160" w:line="276" w:lineRule="auto"/>
        <w:jc w:val="both"/>
      </w:pPr>
      <w:r>
        <w:rPr>
          <w:rFonts w:ascii="Times New Roman" w:hAnsi="Times New Roman"/>
          <w:color w:val="000000"/>
          <w:sz w:val="22"/>
        </w:rPr>
        <w:t>As you are surely aware, there are many statements in the Bahá’í writings that set out in broad and emphatic terms the assurance of divine guidance and protection provided to the Guardian and the Universal House of Justice and describe conferred infallibility in these terms. Among these statements are the following from ‘Abdu’l-Bahá:</w:t>
      </w:r>
    </w:p>
    <w:p>
      <w:pPr>
        <w:spacing w:before="0" w:after="160" w:line="276" w:lineRule="auto"/>
        <w:jc w:val="both"/>
      </w:pPr>
      <w:r>
        <w:rPr>
          <w:rFonts w:ascii="Times New Roman" w:hAnsi="Times New Roman"/>
          <w:color w:val="000000"/>
          <w:sz w:val="22"/>
        </w:rPr>
        <w:t>The sacred and youthful branch, the Guardian of the Cause of God, as well as the Universal House of Justice, to be universally elected and established, are both under the care and protection of the Abhá Beauty, under the shelter and unerring guidance of the Exalted One (may my life be offered up for them both). Whatsoever they decide is of God. Whoso obeyeth him not, neither obeyeth them, hath not obeyed God; whoso rebelleth against him and against them hath rebelled against God; whoso opposeth him hath opposed God; whoso contendeth with them hath contended with God….</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Unto the Most Holy Book every one must turn and all that is not expressly recorded therein must be referred to the Universal House of Justice. That which this body, whether unanimously or by a majority doth carry, that is verily the Truth and the Purpose of God Himself.</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Should that House of Justice decide, either unanimously or by a majority, upon a matter that is not explicitly recorded in the Book, that decision and command will be guarded from error. Now, the members of the House of Justice are not essentially infallible as individuals, but the body of the House of Justice is under the protection and unerring guidance of God: This is called conferred infallibility.</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Let it not be imagined that the House of Justice will take any decision according to its own concepts and opinions. God forbid! The Supreme House of Justice will take decisions and establish laws through the inspiration and confirmation of the Holy Spirit, because it is in the safekeeping and under the shelter and protection of the Ancient Beauty, and obedience to its decisions is a bounden and essential duty and an absolute obligation, and there is no escape for anyone.</w:t>
      </w:r>
    </w:p>
    <w:p>
      <w:pPr>
        <w:spacing w:before="0" w:after="160" w:line="276" w:lineRule="auto"/>
        <w:jc w:val="both"/>
      </w:pPr>
      <w:r>
        <w:rPr>
          <w:rFonts w:ascii="Times New Roman" w:hAnsi="Times New Roman"/>
          <w:color w:val="000000"/>
          <w:sz w:val="22"/>
        </w:rPr>
        <w:t>Say, O people: Verily the Supreme House of Justice is under the wings of your Lord, the Compassionate, the All-Merciful, that is, under His protection, His care, and His shelter; for He has commanded the firm believers to obey that blessed, sanctified and all-subduing body, whose sovereignty is divinely ordained and of the Kingdom of Heaven and whose laws are inspired and spiritual.</w:t>
      </w:r>
    </w:p>
    <w:p>
      <w:pPr>
        <w:spacing w:before="0" w:after="160" w:line="276" w:lineRule="auto"/>
        <w:jc w:val="both"/>
      </w:pPr>
      <w:r>
        <w:rPr>
          <w:rFonts w:ascii="Times New Roman" w:hAnsi="Times New Roman"/>
          <w:color w:val="000000"/>
          <w:sz w:val="22"/>
        </w:rPr>
        <w:t>Moreover, Shoghi Effendi states:</w:t>
      </w:r>
    </w:p>
    <w:p>
      <w:pPr>
        <w:spacing w:before="0" w:after="160" w:line="276" w:lineRule="auto"/>
        <w:jc w:val="both"/>
      </w:pPr>
      <w:r>
        <w:rPr>
          <w:rFonts w:ascii="Times New Roman" w:hAnsi="Times New Roman"/>
          <w:color w:val="000000"/>
          <w:sz w:val="22"/>
        </w:rPr>
        <w:t>In the conduct of the administrative affairs of the Faith, in the enactment of the legislation necessary to supplement the laws of the Kitáb-i-Aqdas, the members of the Universal House of Justice, it should be borne in mind, are not, as Bahá’u’lláh’s utterances clearly imply, responsible to those whom they represent, nor are they allowed to be governed by the feelings, the general opinion, and even the convictions of the mass of the faithful, or of those who directly elect them. They are to follow, in a prayerful attitude, the dictates and promptings of their conscience. They may, indeed they must, acquaint themselves with the conditions prevailing among the community, must weigh dispassionately in their minds the merits of any case presented for their consideration, but must reserve for themselves the right of an unfettered decision. “God will verily inspire them with whatsoever He willeth,” is Bahá’u’lláh’s incontrovertible assurance. They, and not the body of those who either directly or indirectly elect them, have thus been made the recipients of the divine guidance which is at once the life-blood and ultimate safeguard of this Revelation.</w:t>
      </w:r>
    </w:p>
    <w:p>
      <w:pPr>
        <w:spacing w:before="0" w:after="160" w:line="276" w:lineRule="auto"/>
        <w:jc w:val="both"/>
      </w:pPr>
      <w:r>
        <w:rPr>
          <w:rFonts w:ascii="Times New Roman" w:hAnsi="Times New Roman"/>
          <w:color w:val="000000"/>
          <w:sz w:val="22"/>
        </w:rPr>
        <w:t>Beyond these and other such quotations, a number of passages from the writings describe the range of responsibilities invested in the Guardian and the Universal House of Justice. First, it is evident that each has a separate and distinct sphere. As Shoghi Effendi explains in “The Dispensation of Bahá’u’lláh”, “it is made indubitably clear and evident that the Guardian of the Faith has been made the Interpreter of the Word and that the Universal House of Justice has been invested with the function of legislating on matters not expressly revealed in the teachings.” Thus, the Universal House of Justice does not engage in interpretation of the Text, and the Guardian did not enact legislation, although in some instances, as Head of the Faith, he made certain decisions to guide the actions of the friends until such time as the Universal House of Justice would be established.</w:t>
      </w:r>
    </w:p>
    <w:p>
      <w:pPr>
        <w:spacing w:before="0" w:after="160" w:line="276" w:lineRule="auto"/>
        <w:jc w:val="both"/>
      </w:pPr>
      <w:r>
        <w:rPr>
          <w:rFonts w:ascii="Times New Roman" w:hAnsi="Times New Roman"/>
          <w:color w:val="000000"/>
          <w:sz w:val="22"/>
        </w:rPr>
        <w:t>While interpretation and legislation are the exclusive spheres, respectively, of the Guardian and the Universal House of Justice, these functions in no way represent the full extent of their powers and responsibilities as set forth in the writings. For example, about these two institutions Shoghi Effendi writes: “Their common, their fundamental object is to insure the continuity of that divinely-appointed authority which flows from the Source of our Faith, to safeguard the unity of its followers and to maintain the integrity and flexibility of its teachings. Acting in conjunction with each other these two inseparable institutions administer its affairs, coördinate its activities, promote its interests, execute its laws and defend its subsidiary institutions.” Further, concerning the Universal House of Justice, ‘Abdu’l-Bahá states in His Will and Testament, “By this body all the difficult problems are to be resolved….” And He explains that it is incumbent upon the Universal House of Justice to deliberate upon “all problems which have caused difference, questions that are obscure and matters that are not expressly recorded in the Book.”</w:t>
      </w:r>
    </w:p>
    <w:p>
      <w:pPr>
        <w:spacing w:before="0" w:after="160" w:line="276" w:lineRule="auto"/>
        <w:jc w:val="both"/>
      </w:pPr>
      <w:r>
        <w:rPr>
          <w:rFonts w:ascii="Times New Roman" w:hAnsi="Times New Roman"/>
          <w:color w:val="000000"/>
          <w:sz w:val="22"/>
        </w:rPr>
        <w:t>In response to questions about the scope of the Guardian’s infallibility, a letter written on his behalf explains: “The infallibility of the Guardian is confined to matters which are related strictly to the Cause and interpretation of the teachings; he is not an infallible authority on other subjects, such as economics, science, etc.” Another such letter states: “The Guardian’s infallibility covers interpretation of the revealed word, and its application. Likewise any instructions he may issue having to do with the protection of the Faith, or its well-being, must be closely obeyed, as he is infallible in the protection of the Faith. He is assured the guidance of both Bahá’u’lláh and the Báb, as the Will and Testament of ‘Abdu’l-Bahá clearly reveals.” Thus, while there were indeed limits to his conferred infallibility, it was not confined merely to authoritative interpretation of the Bahá’í Writings but extended to the range of his responsibilities as Guardian and Head of the Faith. “It is not for individual believers to limit the sphere of the Guardian’s authority, or to judge when they have to obey the Guardian and when they are free to reject his judgement. Such an attitude would evidently lead to confusion and to schism”, yet another letter written on behalf of Shoghi Effendi states. These passages about the Guardian’s conferred infallibility and authority can also serve to assist believers in understanding the scope of the conferred infallibility and authority of the Universal House of Justice.</w:t>
      </w:r>
    </w:p>
    <w:p>
      <w:pPr>
        <w:spacing w:before="0" w:after="160" w:line="276" w:lineRule="auto"/>
        <w:jc w:val="both"/>
      </w:pPr>
      <w:r>
        <w:rPr>
          <w:rFonts w:ascii="Times New Roman" w:hAnsi="Times New Roman"/>
          <w:color w:val="000000"/>
          <w:sz w:val="22"/>
        </w:rPr>
        <w:t>Finally, you ask whether it is possible to enact laws within the framework of the Writings of Bahá’u’lláh without a thorough and accurate understanding of the meaning of each one of the Writings. In the Writings of Bahá’u’lláh and ‘Abdu’l-Bahá, there is no reference to the nature and extent of the information to which the Universal House of Justice should have access when making its decisions. The House of Justice itself determines what information it needs to reach a decision. Before legislating or deciding upon any vital matter, it studies carefully and exhaustively both the Sacred Texts and the writings of Shoghi Effendi on the subject. It also consults the views of experts as needed. The concept of conferred infallibility of the Universal House of Justice does not rest upon the power of authoritative interpretation nor access to perfect knowledge and understanding—it is an unqualified assurance of divine guidance and protection from error as described in the Bahá’í writings.</w:t>
      </w:r>
    </w:p>
    <w:p>
      <w:pPr>
        <w:spacing w:before="0" w:after="160" w:line="276" w:lineRule="auto"/>
        <w:jc w:val="both"/>
      </w:pPr>
      <w:r>
        <w:rPr>
          <w:rFonts w:ascii="Times New Roman" w:hAnsi="Times New Roman"/>
          <w:color w:val="000000"/>
          <w:sz w:val="22"/>
        </w:rPr>
        <w:t>A discussion on the concept of conferred infallibility that centers on the abundant guidance set forth in the Bahá’í writings and from the Universal House of Justice can contribute to firmness and faith. But the friends cannot be naïve or vacillate when it comes to a matter so fundamental to the protection of the Cause and the integrity of the teachings as the provisions of the Covenant. Those who oppose the Faith and regrettably, in a few instances, believers who wish to advance their own personal views may use such discussions as an opportunity to weaken the confidence of Bahá’ís in the guidance of the Universal House of Justice. During the ministry of the Guardian, would his lack of omniscience have been grounds for the friends to question his protective action to expel someone from the Faith? Were the provisions of the Ten Year Crusade subject to the preferences of the generality of the friends? Were the temporary administrative measures he enacted, pending the formation of the Universal House of Justice, open to debate among individuals or institutions? Without the assurances of Bahá’u’lláh and ‘Abdu’l-Bahá to rely upon a designated and authoritative center, any individual could have insisted upon the correctness of his or her views on any matter, and the Faith would have been mired in endless quarrelling, chaos, and division.</w:t>
      </w:r>
    </w:p>
    <w:p>
      <w:pPr>
        <w:spacing w:before="0" w:after="160" w:line="276" w:lineRule="auto"/>
        <w:jc w:val="both"/>
      </w:pPr>
      <w:r>
        <w:rPr>
          <w:rFonts w:ascii="Times New Roman" w:hAnsi="Times New Roman"/>
          <w:color w:val="000000"/>
          <w:sz w:val="22"/>
        </w:rPr>
        <w:t>Thus, perhaps more important for Bahá’ís than a common understanding of the meaning of conferred infallibility is a common understanding of its purpose and the implications for how they should conduct themselves. The Covenant establishes a center to which all Bahá’ís turn, a center which is assured divine guidance and protection, and which ensures the continuity of the divinely-appointed authority that flows from the Source of the Faith, safeguards the unity of its followers, and maintains the integrity and flexibility of its teachings. Shoghi Effendi explains that Bahá’u’lláh and ‘Abdu’l-Bahá have “in unequivocal and emphatic language, appointed those twin institutions of the House of Justice and of the Guardianship as their chosen Successors, destined to apply the principles, promulgate the laws, protect the institutions, adapt loyally and intelligently the Faith to the requirements of progressive society, and consummate the incorruptible inheritance which the Founders of the Faith have bequeathed to the world.” This is the guarantee that the purpose of Bahá’u’lláh will ultimately be realized. “For nothing short of the explicit directions of their Book, and the surprisingly emphatic language with which they have clothed the provisions of their Will,” Shoghi Effendi explains, “could possibly safeguard the Faith for which they have both so gloriously labored all their lives. Nothing short of this could protect it from the heresies and calumnies with which denominations, peoples, and governments have endeavored, and will, with increasing vigor, endeavor to assail it in future.” In a statement in defence of the Covenant, ‘Abdu’l-Bahá indicates:</w:t>
      </w:r>
    </w:p>
    <w:p>
      <w:pPr>
        <w:spacing w:before="0" w:after="160" w:line="276" w:lineRule="auto"/>
        <w:jc w:val="both"/>
      </w:pPr>
      <w:r>
        <w:rPr>
          <w:rFonts w:ascii="Times New Roman" w:hAnsi="Times New Roman"/>
          <w:color w:val="000000"/>
          <w:sz w:val="22"/>
        </w:rPr>
        <w:t>Hath the Blessed Beauty instituted this Covenant and Testament in order to exact obedience from all, or to bring about disobedience? If the latter is intended, then we have nothing to say; but if obedience and compliance are the goal, then wavering will lead to utter loss, and disobedience and waywardness are grievous error.</w:t>
      </w:r>
    </w:p>
    <w:p>
      <w:pPr>
        <w:spacing w:before="0" w:after="160" w:line="276" w:lineRule="auto"/>
        <w:jc w:val="both"/>
      </w:pPr>
      <w:r>
        <w:rPr>
          <w:rFonts w:ascii="Times New Roman" w:hAnsi="Times New Roman"/>
          <w:color w:val="000000"/>
          <w:sz w:val="22"/>
        </w:rPr>
        <w:t>Again He states:</w:t>
      </w:r>
    </w:p>
    <w:p>
      <w:pPr>
        <w:spacing w:before="0" w:after="160" w:line="276" w:lineRule="auto"/>
        <w:jc w:val="both"/>
      </w:pPr>
      <w:r>
        <w:rPr>
          <w:rFonts w:ascii="Times New Roman" w:hAnsi="Times New Roman"/>
          <w:color w:val="000000"/>
          <w:sz w:val="22"/>
        </w:rPr>
        <w:t>Now one must either say that the Blessed Beauty erred and led the people astray, for He directed them to obey someone who ought not to have been obeyed, or else say that the least deviation from the Covenant and the Testament entaileth deprivation from the bounties of Him Who is the Luminary of the world. Of these two alternatives, one must be true; there is no third.</w:t>
      </w:r>
    </w:p>
    <w:p>
      <w:pPr>
        <w:spacing w:before="0" w:after="160" w:line="276" w:lineRule="auto"/>
        <w:jc w:val="both"/>
      </w:pPr>
      <w:r>
        <w:rPr>
          <w:rFonts w:ascii="Times New Roman" w:hAnsi="Times New Roman"/>
          <w:color w:val="000000"/>
          <w:sz w:val="22"/>
        </w:rPr>
        <w:t>It is evident that the purpose of the Covenant, the purpose of the divine guidance and protection vouchsafed to the Universal House of Justice, the purpose of the clear and emphatic language in which the assurance of this guidance is given, are all to establish and preserve the unity of the Faith. Without such a Covenant, as in past dispensations, everyone would insist upon the correctness of their own view, the Faith of God would be splintered, and the divine purpose—the unity of humanity—would be impossible to achieve.</w:t>
      </w:r>
    </w:p>
    <w:p>
      <w:pPr>
        <w:spacing w:before="0" w:after="160" w:line="276" w:lineRule="auto"/>
        <w:jc w:val="both"/>
      </w:pPr>
      <w:r>
        <w:rPr>
          <w:rFonts w:ascii="Times New Roman" w:hAnsi="Times New Roman"/>
          <w:color w:val="000000"/>
          <w:sz w:val="22"/>
        </w:rPr>
        <w:t>The friends would do well to ponder “this unique, this wondrous System” Bahá’u’lláh has bequeathed to the world. Shoghi Effendi explains: “An exact and thorough comprehension of so vast a system, so sublime a revelation, so sacred a trust, is for obvious reasons beyond the reach and ken of our finite minds”; yet, he assures us: “We can, however, and it is our bounden duty to seek to derive fresh inspiration and added sustenance as we labor for the propagation of His Faith through a clearer apprehension of the truths it enshrines and the principles on which it is based.” To attempt to precisely define the workings of conferred infallibility, to attribute exaggerated powers to the Universal House of Justice such as omniscience or even authoritative interpretation, or to insist that fallible human beings can use their own limited powers of reason to test the validity of divinely guided decisions and determine whether to challenge them would be futile and, ultimately, harmful. Rather, the friends are to strive to understand the guidance provided by the Universal House of Justice and thoughtfully apply it. They are free to share observations, information, or questions with the Universal House of Justice. But they should not allow themselves to be caught up in the divisive practices and intractable disputes that consumed religion in past dispensations. The collective interests of the Faith are fostered through consultation and cooperation, not conflict and contention.</w:t>
      </w:r>
    </w:p>
    <w:p>
      <w:pPr>
        <w:spacing w:before="0" w:after="160" w:line="276" w:lineRule="auto"/>
        <w:jc w:val="both"/>
      </w:pPr>
      <w:r>
        <w:rPr>
          <w:rFonts w:ascii="Times New Roman" w:hAnsi="Times New Roman"/>
          <w:color w:val="000000"/>
          <w:sz w:val="22"/>
        </w:rPr>
        <w:t>Rest assured of the supplications of the Universal House of Justice at the Sacred Threshold that you may be confirmed in your services to the Cause of God.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Conferred Infallibility</dc:title>
  <dc:subject>Bahá'í Message #309 (18 May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