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12 November 2018</w:t>
      </w:r>
    </w:p>
    <w:p>
      <w:pPr>
        <w:spacing w:before="0" w:after="360"/>
        <w:jc w:val="left"/>
      </w:pPr>
      <w:r>
        <w:rPr>
          <w:rFonts w:ascii="Times New Roman" w:hAnsi="Times New Roman"/>
          <w:color w:val="000000"/>
          <w:sz w:val="22"/>
        </w:rPr>
        <w:t>To all National Spiritual Assemblies</w:t>
      </w:r>
    </w:p>
    <w:p>
      <w:pPr>
        <w:spacing w:before="0" w:after="160" w:line="276" w:lineRule="auto"/>
        <w:jc w:val="both"/>
      </w:pPr>
      <w:r>
        <w:rPr>
          <w:rFonts w:ascii="Times New Roman" w:hAnsi="Times New Roman"/>
          <w:color w:val="000000"/>
          <w:sz w:val="22"/>
        </w:rPr>
        <w:t>With great joy we announce the appointment of the members of the Board of Directors for the Bahá’í International Development Organization, newly established at the Bahá’í World Centre, for the five-year term beginning 26 November 2018: Elisa Caney, Maame Brodwemaba Nketsiah, Lori McLaughlin Noguchi, Sina Rahmanian, and George Soraya.</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Appointment of the Members of the Board of Directors for the Bahá’í International Development Organization</dc:title>
  <dc:subject>Bahá'í Message #316 (12 November 2018)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