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September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was the case two years ago, a section of the Bahai.org website will provide information about the events unfolding in various countries during the upcoming Twin Holy Days. This online portal, available in all the languages of Bahai.org—Arabic, Chinese, English, French, Hindi, Persian, Portuguese, Russian, Spanish, and Swahili—is now active, and it can be accessed by the friends at bicentenary.bahai.org. Some content related to the coming anniversary is already available on the site, and the film Dawn of the Light will be added by the end of September. During the hours when the believers and their friends will celebrate the Birth of the Báb and the Birth of Bahá’u’lláh throughout the world, the site will offer glimpses of activities in several locations, including live streaming of services held at Houses of Worship, that will be illustrative of the wide array of initiatives being undertaken in localities everywhere. It is hoped that before, during, and after the Holy Days, this website will serve as a valuable resource upon which the friends may draw for inspiration and encouragement.</w:t>
      </w:r>
    </w:p>
    <w:p>
      <w:pPr>
        <w:spacing w:before="0" w:after="160" w:line="276" w:lineRule="auto"/>
        <w:jc w:val="both"/>
      </w:pPr>
      <w:r>
        <w:rPr>
          <w:rFonts w:ascii="Times New Roman" w:hAnsi="Times New Roman"/>
          <w:color w:val="000000"/>
          <w:sz w:val="22"/>
        </w:rPr>
        <w:t>You are warmly invited to share this information with the members of your communities.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on Bahai.org for the Twin Holy Days</dc:title>
  <dc:subject>Bahá'í Message #332 (6 September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