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13 September 2019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It is with great joy that the Universal House of Justice makes available to you the final versions of Dawn of the Light.</w:t>
      </w:r>
    </w:p>
    <w:p>
      <w:pPr>
        <w:spacing w:before="0" w:after="160" w:line="276" w:lineRule="auto"/>
        <w:jc w:val="both"/>
      </w:pPr>
      <w:r>
        <w:rPr>
          <w:rFonts w:ascii="Times New Roman" w:hAnsi="Times New Roman"/>
          <w:color w:val="000000"/>
          <w:sz w:val="22"/>
        </w:rPr>
        <w:t>High-resolution subtitled and voice-over copies of the film in Arabic, English, French, Persian, Russian, Spanish, and Swahili have been placed on a website, in a number of formats to suit different needs, for the use of National Spiritual Assemblies. Also online are the DVD cover artwork, technical instructions, and video and audio files that will allow National Assemblies, where required, to finalize versions of the film with subtitles or voice-over in local languages…. Once any local-language version of the film has been finalized, it would be appreciated if the relevant National Assembly would arrange for a copy to be sent to the World Centre….</w:t>
      </w:r>
    </w:p>
    <w:p>
      <w:pPr>
        <w:spacing w:before="0" w:after="160" w:line="276" w:lineRule="auto"/>
        <w:jc w:val="both"/>
      </w:pPr>
      <w:r>
        <w:rPr>
          <w:rFonts w:ascii="Times New Roman" w:hAnsi="Times New Roman"/>
          <w:color w:val="000000"/>
          <w:sz w:val="22"/>
        </w:rPr>
        <w:t>Questions may arise with regard to whether the film can be screened publicly in a given locality. There would be no objection to the friends arranging for such screenings, subject to any advice that you may wish to convey to your respective communities. With regard to whether the film may be shown on television, this is a matter for each National Assembly to decide, drawing on the advice of the Counsellors where necessary and having regard for the situation in each country and the likely nature of public reaction.</w:t>
      </w:r>
    </w:p>
    <w:p>
      <w:pPr>
        <w:spacing w:before="0" w:after="160" w:line="276" w:lineRule="auto"/>
        <w:jc w:val="both"/>
      </w:pPr>
      <w:r>
        <w:rPr>
          <w:rFonts w:ascii="Times New Roman" w:hAnsi="Times New Roman"/>
          <w:color w:val="000000"/>
          <w:sz w:val="22"/>
        </w:rPr>
        <w:t>It is hoped that on the occasion of the two hundredth anniversary of the Birth of the Báb, as well as in the years to come, this film will help to attract the hearts and minds of thousands upon thousands to the Cause of Bahá’u’lláh.</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Dawn of the Light</dc:title>
  <dc:subject>Bahá'í Message #333 (13 September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