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April 2020</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11 February 2020 requesting recent statistical data in relation to the number of women currently serving on the elected and appointed institutions of the Faith. We have been asked to share with you the following information which was obtained in February 2020:</w:t>
      </w:r>
    </w:p>
    <w:p>
      <w:pPr>
        <w:spacing w:before="0" w:after="160" w:line="276" w:lineRule="auto"/>
        <w:jc w:val="both"/>
      </w:pPr>
      <w:r>
        <w:rPr>
          <w:rFonts w:ascii="Times New Roman" w:hAnsi="Times New Roman"/>
          <w:color w:val="000000"/>
          <w:sz w:val="22"/>
        </w:rPr>
        <w:t xml:space="preserve">Continental Counsellors: </w:t>
        <w:tab/>
        <w:tab/>
        <w:t>47%</w:t>
      </w:r>
    </w:p>
    <w:p>
      <w:pPr>
        <w:spacing w:before="0" w:after="160" w:line="276" w:lineRule="auto"/>
        <w:jc w:val="both"/>
      </w:pPr>
      <w:r>
        <w:rPr>
          <w:rFonts w:ascii="Times New Roman" w:hAnsi="Times New Roman"/>
          <w:color w:val="000000"/>
          <w:sz w:val="22"/>
        </w:rPr>
        <w:t xml:space="preserve">Auxiliary Board members: </w:t>
        <w:tab/>
        <w:tab/>
        <w:t>52%</w:t>
      </w:r>
    </w:p>
    <w:p>
      <w:pPr>
        <w:spacing w:before="0" w:after="160" w:line="276" w:lineRule="auto"/>
        <w:jc w:val="both"/>
      </w:pPr>
      <w:r>
        <w:rPr>
          <w:rFonts w:ascii="Times New Roman" w:hAnsi="Times New Roman"/>
          <w:color w:val="000000"/>
          <w:sz w:val="22"/>
        </w:rPr>
        <w:t xml:space="preserve">National Spiritual Assemblies: </w:t>
        <w:tab/>
        <w:t>42%</w:t>
      </w:r>
    </w:p>
    <w:p>
      <w:pPr>
        <w:spacing w:before="0" w:after="160" w:line="276" w:lineRule="auto"/>
        <w:jc w:val="both"/>
      </w:pPr>
      <w:r>
        <w:rPr>
          <w:rFonts w:ascii="Times New Roman" w:hAnsi="Times New Roman"/>
          <w:color w:val="000000"/>
          <w:sz w:val="22"/>
        </w:rPr>
        <w:t xml:space="preserve">Regional Bahá’í Councils: </w:t>
        <w:tab/>
        <w:tab/>
        <w:t>43%</w:t>
      </w:r>
    </w:p>
    <w:p>
      <w:pPr>
        <w:spacing w:before="0" w:after="160" w:line="276" w:lineRule="auto"/>
        <w:jc w:val="both"/>
      </w:pPr>
      <w:r>
        <w:rPr>
          <w:rFonts w:ascii="Times New Roman" w:hAnsi="Times New Roman"/>
          <w:color w:val="000000"/>
          <w:sz w:val="22"/>
        </w:rPr>
        <w:t>You may also be interested to know that five out of the nine members of the International Teaching Centre and three out of the five members of the Bahá’í International Development Organization are women. Furthermore, the Principal Representative of the Bahá’í International Community and the majority of the representatives of the Offices of the Bahá’í International Community are women.</w:t>
      </w:r>
    </w:p>
    <w:p>
      <w:pPr>
        <w:spacing w:before="0" w:after="160" w:line="276" w:lineRule="auto"/>
        <w:jc w:val="both"/>
      </w:pPr>
      <w:r>
        <w:rPr>
          <w:rFonts w:ascii="Times New Roman" w:hAnsi="Times New Roman"/>
          <w:color w:val="000000"/>
          <w:sz w:val="22"/>
        </w:rPr>
        <w:t>Kindly note that no information is available at the Bahá’í World Centre in relation to the percentage of women serving on Local Spiritual Assemblies.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of Women on the Elected and Appointed Institutions</dc:title>
  <dc:subject>Bahá'í Message #345 (23 April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