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 June 2021</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Enclosed is the 45th edition of the newsletter Reflections on Growth, which, as you know, has been prepared under the auspices of the International Teaching Centre for the institution of the Counsellors and is being sent to you at the request of the Universal House of Justice. This edition—the third in a series—shares accounts of how groups of friends, arising to meet the challenges associated with the current global health crisis, are working alongside families around them to find creative ways to establish a thriving community life that fosters the spiritual education of children and the well-being of the entire family.</w:t>
      </w:r>
    </w:p>
    <w:p>
      <w:pPr>
        <w:spacing w:before="0" w:after="160" w:line="276" w:lineRule="auto"/>
        <w:jc w:val="both"/>
      </w:pPr>
      <w:r>
        <w:rPr>
          <w:rFonts w:ascii="Times New Roman" w:hAnsi="Times New Roman"/>
          <w:color w:val="000000"/>
          <w:sz w:val="22"/>
        </w:rPr>
        <w:t>As in the case of earlier editions, you may wish to send it by email to those friends and agencies involved in promoting the process of growth at the various levels of your communities. However, the newsletter is not intended for general distribution on the Internet; it should not, therefore, be made accessible to a large number of friends through general email distribution lists that would result in its widespread circulation and posting on sites of various kinds. You may, of course, publish extracts from Reflections on Growth in your national newsletters, if so desired.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45th Edition of Reflections on Growth</dc:title>
  <dc:subject>Bahá'í Message #368 (3 June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