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9 December 2021</w:t>
      </w:r>
    </w:p>
    <w:p>
      <w:pPr>
        <w:spacing w:before="0" w:after="160" w:line="276" w:lineRule="auto"/>
        <w:jc w:val="both"/>
      </w:pPr>
      <w:r>
        <w:rPr>
          <w:rFonts w:ascii="Times New Roman" w:hAnsi="Times New Roman"/>
          <w:color w:val="000000"/>
          <w:sz w:val="22"/>
        </w:rPr>
        <w:t>The National Spiritual Assembly</w:t>
        <w:br/>
        <w:t xml:space="preserve">    of the Bahá’ís of Switzerland</w:t>
      </w:r>
    </w:p>
    <w:p>
      <w:pPr>
        <w:spacing w:before="0" w:after="160" w:line="276" w:lineRule="auto"/>
        <w:jc w:val="both"/>
      </w:pPr>
      <w:r>
        <w:rPr>
          <w:rFonts w:ascii="Times New Roman" w:hAnsi="Times New Roman"/>
          <w:color w:val="000000"/>
          <w:sz w:val="22"/>
        </w:rPr>
        <w:t>We were grieved to learn of the passing of Shapour Rassekh, outstanding servant of the Cause of God. His decades of consecrated labour for the advancement of the Faith, distinguished by his service as a member of the Continental Board of Counsellors in Europe and of the National Spiritual Assemblies of Iran and Switzerland, are recalled with profound admiration. Notable throughout an abundant life were his extensive and remarkable contributions in the fields of Bahá’í studies and Persian literature, as well as his pioneering work in the application of the social sciences. May his shining example of a life dedicated to the service of the Cause and of society be a source of inspiration for future generations. We supplicate in the Sacred Shrines for the progress of his illumined soul, now joyously reunited with his beloved wife, Mehry, throughout the worlds of God and extend our sympathy to his family and friends.</w:t>
      </w:r>
    </w:p>
    <w:p>
      <w:pPr>
        <w:spacing w:before="0" w:after="160" w:line="276" w:lineRule="auto"/>
        <w:jc w:val="both"/>
      </w:pPr>
      <w:r>
        <w:rPr>
          <w:rFonts w:ascii="Times New Roman" w:hAnsi="Times New Roman"/>
          <w:color w:val="000000"/>
          <w:sz w:val="22"/>
        </w:rPr>
        <w:t>We call for memorial gatherings to be held in his honour throughout Switzerland and, by copy of this message, request the National Spiritual Assembly of Germany to arrange a befitting memorial service at the Mother Temple of Europe, as circumstances permit.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Shapour Rassekh</dc:title>
  <dc:subject>Bahá'í Message #380 (9 December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