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30 April 1963</w:t>
      </w:r>
    </w:p>
    <w:p>
      <w:pPr>
        <w:spacing w:before="0" w:after="360"/>
        <w:jc w:val="left"/>
      </w:pPr>
      <w:r>
        <w:rPr>
          <w:rFonts w:ascii="Times New Roman" w:hAnsi="Times New Roman"/>
          <w:b w:val="0"/>
          <w:color w:val="000000"/>
          <w:sz w:val="22"/>
        </w:rPr>
        <w:t>To the First Bahá’í World Congress</w:t>
      </w:r>
    </w:p>
    <w:p>
      <w:pPr>
        <w:spacing w:before="0" w:after="160" w:line="276" w:lineRule="auto"/>
        <w:jc w:val="both"/>
      </w:pPr>
      <w:r>
        <w:rPr>
          <w:rFonts w:ascii="Times New Roman" w:hAnsi="Times New Roman"/>
          <w:color w:val="000000"/>
          <w:sz w:val="22"/>
        </w:rPr>
        <w:t>[To the First Bahá’í World Congress]</w:t>
      </w:r>
    </w:p>
    <w:p>
      <w:pPr>
        <w:spacing w:before="0" w:after="160" w:line="276" w:lineRule="auto"/>
        <w:jc w:val="both"/>
      </w:pPr>
      <w:r>
        <w:rPr>
          <w:rFonts w:ascii="Times New Roman" w:hAnsi="Times New Roman"/>
          <w:color w:val="000000"/>
          <w:sz w:val="22"/>
        </w:rPr>
        <w:t>“All praise, O my God, be to Thee Who art the Source of all glory and majesty, of greatness and honor, of sovereignty and dominion, of loftiness and grace, of awe and power. Whomsoever Thou willest Thou causest to draw nigh unto the Most Great Ocean, and on whomsoever Thou desirest Thou conferrest the honor of recognizing Thy Most Ancient Name. Of all who are in heaven and on earth, none can withstand the operation of Thy sovereign Will. From all eternity Thou didst rule the entire creation, and Thou wilt continue for evermore to exercise Thy dominion over all created things. There is none other God but Thee, the Almighty, the Most Exalted, the All-Powerful, the All-Wise.”</w:t>
      </w:r>
    </w:p>
    <w:p>
      <w:pPr>
        <w:spacing w:before="0" w:after="160" w:line="276" w:lineRule="auto"/>
        <w:jc w:val="both"/>
      </w:pPr>
      <w:r>
        <w:rPr>
          <w:rFonts w:ascii="Times New Roman" w:hAnsi="Times New Roman"/>
          <w:color w:val="000000"/>
          <w:sz w:val="22"/>
        </w:rPr>
        <w:t>Beloved friends: On this glorious occasion, the celebration of the Most Great Jubilee, we raise our grateful thanks to Bahá’u’lláh for all His bounties showered upon the friends throughout the world. This historic moment marks at one and the same time the fulfillment of Daniel’s prophecy, the Hundredth Anniversary of the Declaration of the Promised One of all ages, the termination of the first epoch of the Divine Plan of ‘Abdu’l‑Bahá designed to establish the Faith of God in all the world, and the successful conclusion of our beloved Guardian’s world-encircling Crusade, enabling his lovers and loved ones everywhere to lay this glorious harvest of victory in his name at the feet of the Blessed Beauty. This Most Great Jubilee is the crowning victory of the lifework of Shoghi Effendi, Guardian of the Cause of God. He it was, and he alone, who unfolded the potentialities of the widely scattered, numerically small, and largely unorganized Bahá’í community which had been called into being during the Heroic Age of the Faith. He it was who unfolded the grand design of God’s Holy Cause, set in motion the great plans of teaching already outlined by ‘Abdu’l‑Bahá, established the institutions and greatly extended the endowments at the World Center, and raised the Temples of America, Africa, Australasia and Europe, developed the Administrative Order of the Cause throughout the world, and set the Ark of the Cause true on its course. He appointed the Hands of the Cause of God.</w:t>
      </w:r>
    </w:p>
    <w:p>
      <w:pPr>
        <w:spacing w:before="0" w:after="160" w:line="276" w:lineRule="auto"/>
        <w:jc w:val="both"/>
      </w:pPr>
      <w:r>
        <w:rPr>
          <w:rFonts w:ascii="Times New Roman" w:hAnsi="Times New Roman"/>
          <w:color w:val="000000"/>
          <w:sz w:val="22"/>
        </w:rPr>
        <w:t>As soon as the House of Justice is able to organize its work and deploy its forces it will examine carefully all the conditions of the Cause of God, and communications will be made to the friends. At this time we call upon the believers everywhere to follow up vigorously the opportunities opened up by the World Crusade. Consolidation and deepening must go hand in hand with an eager extension of the teaching work so that the onward march of the Cause may continue unabated in preparation for future plans. Now that the attention of the public is becoming more and more drawn to the Cause of God the friends must brace themselves and prepare their institutions to sustain the gaze of the world, whether it be friendly or hostile, eager or idle.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April 1963 – [To the First Bahá’í World Congress]</dc:title>
  <dc:subject>Bahá'í Guidance (30 April 1963)</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