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November 1963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The Hands of the Cause at their London Conclave last May decided that Auxiliary Board members should be free of administrative responsibilities in order to devote their full energies to their work as Board members. Those Board members serving on National Assemblies were therefore requested to decide, before Riḍván 1964, in which capacity they could best serve the Cause.</w:t>
      </w:r>
    </w:p>
    <w:p>
      <w:pPr>
        <w:spacing w:before="0" w:after="160" w:line="276" w:lineRule="auto"/>
        <w:jc w:val="both"/>
      </w:pPr>
      <w:r>
        <w:rPr>
          <w:rFonts w:ascii="Times New Roman" w:hAnsi="Times New Roman"/>
          <w:color w:val="000000"/>
          <w:sz w:val="22"/>
        </w:rPr>
        <w:t>1 National Assemblies in whose areas of jurisdiction Board members reside, should point out to the delegates at Convention that whilst teaching and administrative duties are not mutually exclusive, it is desirable that Auxiliary Board members, whether for teaching or protection, be left free to concentrate on the work allotted to them by the Hands of the Cause in each Continent. The following extract from the Guardian’s letter, written through his secretary, could be shared with the delegates for their guidance when casting their votes: “The teachers of the Cause can surely become members of any Assembly or committee. There should be no incapacity attached to them. But Shoghi Effendi would just prefer to see them devote all their time to teaching and leave the administrative functions for those who cannot serve as teachers.” (Bahá’í News, October 1932).</w:t>
      </w:r>
    </w:p>
    <w:p>
      <w:pPr>
        <w:spacing w:before="0" w:after="160" w:line="276" w:lineRule="auto"/>
        <w:jc w:val="both"/>
      </w:pPr>
      <w:r>
        <w:rPr>
          <w:rFonts w:ascii="Times New Roman" w:hAnsi="Times New Roman"/>
          <w:color w:val="000000"/>
          <w:sz w:val="22"/>
        </w:rPr>
        <w:t>4 Measures will have to be taken by National Assemblies according to normal procedure to fill any vacancies created in this way. If the vacancy is recognized while Convention is still in session, a by-election could be arranged before Convention disbands.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November 1963 – To all National Spiritual Assemblies</dc:title>
  <dc:subject>Bahá'í Guidance (25 November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