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May 1966</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 suggest the possibility that, for the good of the Cause, certain information concerning the succession to Shoghi Effendi is being withheld from the believers. We assure you that nothing whatsoever is being withheld from the friends for whatever reason. There is no doubt at all that in the Will and Testament of ‘Abdu’l‑Bahá Shoghi Effendi was the authority designated to appoint his successor, but he had no children and all the surviving Aghṣán had broken the Covenant. Thus, as the Hands of the Cause stated in 1957, it is clear that there was no one he could have appointed in accordance with the provisions of the Will. To have made an appointment outside the clear and specific provisions of the Master’s Will and Testament would obviously have been an impossible and unthinkable course of action for the Guardian, the divinely appointed upholder and defender of the Covenant. Moreover, that same Will had provided a clear means for the confirmation of the Guardian’s appointment of his successor, as you are aware. The nine Hands to be elected by the body of the Hands were to give their assent by secret ballot to the Guardian’s choice. In 1957 the entire body of the Hands, after fully investigating the matter, announced that Shoghi Effendi had appointed no successor and left no will. This is documented and established.</w:t>
      </w:r>
    </w:p>
    <w:p>
      <w:pPr>
        <w:spacing w:before="0" w:after="160" w:line="276" w:lineRule="auto"/>
        <w:jc w:val="both"/>
      </w:pPr>
      <w:r>
        <w:rPr>
          <w:rFonts w:ascii="Times New Roman" w:hAnsi="Times New Roman"/>
          <w:color w:val="000000"/>
          <w:sz w:val="22"/>
        </w:rPr>
        <w:t>“Though the Guardian of the Faith has been made the permanent head of so august a body he can never, even temporarily, assume the right of exclusive legislation. He cannot override the decision of the majority of his fellow-members, but is bound to insist upon a reconsideration by them of any enactment he conscientiously believes to conflict with the meaning and to depart from the spirit of Bahá’u’lláh’s revealed utterances.”</w:t>
      </w:r>
    </w:p>
    <w:p>
      <w:pPr>
        <w:spacing w:before="0" w:after="160" w:line="276" w:lineRule="auto"/>
        <w:jc w:val="both"/>
      </w:pPr>
      <w:r>
        <w:rPr>
          <w:rFonts w:ascii="Times New Roman" w:hAnsi="Times New Roman"/>
          <w:color w:val="000000"/>
          <w:sz w:val="22"/>
        </w:rPr>
        <w:t>As regards the need to have deductions made from the Writings to help in the formulation of the enactments of the House of Justice, there is the following text from the pen of ‘Abdu’l‑Bahá:</w:t>
      </w:r>
    </w:p>
    <w:p>
      <w:pPr>
        <w:spacing w:before="0" w:after="160" w:line="276" w:lineRule="auto"/>
        <w:jc w:val="both"/>
      </w:pPr>
      <w:r>
        <w:rPr>
          <w:rFonts w:ascii="Times New Roman" w:hAnsi="Times New Roman"/>
          <w:color w:val="000000"/>
          <w:sz w:val="22"/>
        </w:rPr>
        <w:t>Those matters of major importance which constitute the foundation of the Law of God are explicitly recorded in the Text, but subsidiary laws are left to the House of Justice. The wisdom of this is that the times never remain the same, for change is a necessary quality and an essential attribute of this world, and of time and place. Therefore the House of Justice will take action accordingly.</w:t>
      </w:r>
    </w:p>
    <w:p>
      <w:pPr>
        <w:spacing w:before="0" w:after="160" w:line="276" w:lineRule="auto"/>
        <w:jc w:val="both"/>
      </w:pPr>
      <w:r>
        <w:rPr>
          <w:rFonts w:ascii="Times New Roman" w:hAnsi="Times New Roman"/>
          <w:color w:val="000000"/>
          <w:sz w:val="22"/>
        </w:rPr>
        <w:t>Let it not be imagined that the House of Justice will take any decision according to its own concepts and opinions. God forbid! The Supreme House of Justice will take decisions and establish laws through the inspiration and confirmation of the Holy Spirit, because it is in the safekeeping and under the shelter and protection of the Ancient Beauty, and obedience to its decisions is a bounden and essential duty and an absolute obligation, and there is no escape for anyone.</w:t>
      </w:r>
    </w:p>
    <w:p>
      <w:pPr>
        <w:spacing w:before="0" w:after="160" w:line="276" w:lineRule="auto"/>
        <w:jc w:val="both"/>
      </w:pPr>
      <w:r>
        <w:rPr>
          <w:rFonts w:ascii="Times New Roman" w:hAnsi="Times New Roman"/>
          <w:color w:val="000000"/>
          <w:sz w:val="22"/>
        </w:rPr>
        <w:t>Say, O people: Verily the Supreme House of Justice is under the wings of your Lord, the Compassionate, the All-Merciful, that is, under His protection, His care, and His shelter; for He has commanded the firm believers to obey that blessed, sanctified and all-subduing body, whose sovereignty is divinely ordained and of the Kingdom of Heaven and whose laws are inspired and spiritual.</w:t>
      </w:r>
    </w:p>
    <w:p>
      <w:pPr>
        <w:spacing w:before="0" w:after="160" w:line="276" w:lineRule="auto"/>
        <w:jc w:val="both"/>
      </w:pPr>
      <w:r>
        <w:rPr>
          <w:rFonts w:ascii="Times New Roman" w:hAnsi="Times New Roman"/>
          <w:color w:val="000000"/>
          <w:sz w:val="22"/>
        </w:rPr>
        <w:t>Briefly, this is the wisdom of referring the laws of society to the House of Justice. In the religion of Islam, similarly, not every ordinance was explicitly revealed; nay not a tenth part of a tenth part was included in the Text; although all matters of major importance were specifically referred to, there were undoubtedly thousands of laws which were unspecified. These were devised by the divines of a later age according to the laws of Islamic jurisprudence, and individual divines made conflicting deductions from the original revealed ordinances. All these were enforced. Today this process of deduction is the right of the body of the House of Justice, and the deductions and conclusions of individual learned men have no authority, unless they are endorsed by the House of Justice. The difference is precisely this, that from the conclusions and endorsements of the body of the House of Justice whose members are elected by and known to the worldwide Bahá’í community, no differences will arise; whereas the conclusions of individual divines and scholars would definitely lead to differences, and result in schism, division, and dispersion. The oneness of the Word would be destroyed, the unity of the Faith would disappear, and the edifice of the Faith of God would be shaken.</w:t>
      </w:r>
    </w:p>
    <w:p>
      <w:pPr>
        <w:spacing w:before="0" w:after="160" w:line="276" w:lineRule="auto"/>
        <w:jc w:val="both"/>
      </w:pPr>
      <w:r>
        <w:rPr>
          <w:rFonts w:ascii="Times New Roman" w:hAnsi="Times New Roman"/>
          <w:color w:val="000000"/>
          <w:sz w:val="22"/>
        </w:rPr>
        <w:t>Service to the Cause of God requires absolute fidelity and integrity and unwavering faith in Him. No good but only evil can come from taking the responsibility for the future of God’s Cause into our own hands and trying to force it into ways that we wish it to go regardless of the clear texts and our own limitations. It is His Cause. He has promised that its light will not fail. Our part is to cling tenaciously to the revealed Word and to the Institutions that He has created to preserve His Covenant.</w:t>
      </w:r>
    </w:p>
    <w:p>
      <w:pPr>
        <w:spacing w:before="0" w:after="160" w:line="276" w:lineRule="auto"/>
        <w:jc w:val="both"/>
      </w:pPr>
      <w:r>
        <w:rPr>
          <w:rFonts w:ascii="Times New Roman" w:hAnsi="Times New Roman"/>
          <w:color w:val="000000"/>
          <w:sz w:val="22"/>
        </w:rPr>
        <w:t>It is precisely in this connection that the believers must recognize the importance of intellectual honesty and humility. In past dispensations many errors arose because the believers in God’s Revelation were overanxious to encompass the Divine Message within the framework of their limited understanding, to define doctrines where definition was beyond their power, to explain mysteries which only the wisdom and experience of a later age would make comprehensible, to argue that something was true because it appeared desirable and necessary. Such compromises with essential truth, such intellectual pride, we must scrupulously avoid.</w:t>
      </w:r>
    </w:p>
    <w:p>
      <w:pPr>
        <w:spacing w:before="0" w:after="160" w:line="276" w:lineRule="auto"/>
        <w:jc w:val="both"/>
      </w:pPr>
      <w:r>
        <w:rPr>
          <w:rFonts w:ascii="Times New Roman" w:hAnsi="Times New Roman"/>
          <w:color w:val="000000"/>
          <w:sz w:val="22"/>
        </w:rPr>
        <w:t>A clear distinction is made in our Faith between authoritative interpretation and the interpretation or understanding that each individual arrives at for himself from his study of its teachings. While the former is confined to the Guardian, the latter, according to the guidance given to us by the Guardian himself, should by no means be suppressed. In fact such individual interpretation is considered the fruit of man’s rational power and conducive to a better understanding of the teachings, provided that no disputes or arguments arise among the friends and the individual himself understands and makes it clear that his views are merely his own. Individual interpretations continually change as one grows in comprehension of the teachings. As Shoghi Effendi explained: “To deepen in the Cause means to read the writings of Bahá’u’lláh and the Master so thoroughly as to be able to give it to others in its pure form. There are many who have some superficial idea of what the Cause stands for. They, therefore, present it together with all sorts of ideas that are their own. As the Cause is still in its early days we must be most careful lest we fall under this error and injure the Movement we so much adore. There is no limit to the study of the Cause. The more we read the Writings, the more truths we can find in them and the more we will see that our previous notions were erroneous.” So, although individual insights can be enlightening and helpful, they can also be misleading. The friends must therefore learn to listen to the views of others without being overawed or allowing their faith to be shaken, and to express their own views without pressing them on their fellow Bahá’ís.</w:t>
      </w:r>
    </w:p>
    <w:p>
      <w:pPr>
        <w:spacing w:before="0" w:after="160" w:line="276" w:lineRule="auto"/>
        <w:jc w:val="both"/>
      </w:pPr>
      <w:r>
        <w:rPr>
          <w:rFonts w:ascii="Times New Roman" w:hAnsi="Times New Roman"/>
          <w:color w:val="000000"/>
          <w:sz w:val="22"/>
        </w:rPr>
        <w:t>The Cause of God is organic, growing and developing like a living being. Time and again it has faced crises which have perplexed the believers, but each time the Cause, impelled by the immutable purpose of God, overcame the crisis and went on to greater heights.</w:t>
      </w:r>
    </w:p>
    <w:p>
      <w:pPr>
        <w:spacing w:before="0" w:after="160" w:line="276" w:lineRule="auto"/>
        <w:jc w:val="both"/>
      </w:pPr>
      <w:r>
        <w:rPr>
          <w:rFonts w:ascii="Times New Roman" w:hAnsi="Times New Roman"/>
          <w:color w:val="000000"/>
          <w:sz w:val="22"/>
        </w:rPr>
        <w:t>However great may be our inability to understand the mystery and the implications of the passing of Shoghi Effendi, the strong cord to which all must cling with assurance is the Covenant. The emphatic and vigorous language of ‘Abdu’l‑Bahá’s Will and Testament is at this time, as at the time of His own passing, the safeguard of the Cause: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May 1966 – [To an individual]</dc:title>
  <dc:subject>Bahá'í Guidance (27 May 1966)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