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24 April 1972</w:t>
      </w:r>
    </w:p>
    <w:p>
      <w:pPr>
        <w:spacing w:before="0" w:after="360"/>
        <w:jc w:val="left"/>
      </w:pPr>
      <w:r>
        <w:rPr>
          <w:rFonts w:ascii="Times New Roman" w:hAnsi="Times New Roman"/>
          <w:b w:val="0"/>
          <w:color w:val="000000"/>
          <w:sz w:val="22"/>
        </w:rPr>
        <w:t>To the Continental Boards of Counselors and National Spiritual Assemblies</w:t>
      </w:r>
    </w:p>
    <w:p>
      <w:pPr>
        <w:spacing w:before="0" w:after="180"/>
        <w:jc w:val="left"/>
      </w:pPr>
      <w:r>
        <w:rPr>
          <w:rFonts w:ascii="Times New Roman" w:hAnsi="Times New Roman"/>
          <w:b w:val="0"/>
          <w:color w:val="000000"/>
          <w:sz w:val="22"/>
        </w:rPr>
        <w:t>Beloved Friends,</w:t>
      </w:r>
    </w:p>
    <w:p>
      <w:pPr>
        <w:spacing w:before="0" w:after="160" w:line="276" w:lineRule="auto"/>
        <w:jc w:val="both"/>
      </w:pPr>
      <w:r>
        <w:rPr>
          <w:rFonts w:ascii="Times New Roman" w:hAnsi="Times New Roman"/>
          <w:color w:val="000000"/>
          <w:sz w:val="22"/>
        </w:rPr>
        <w:t>Recently we have received queries from several sources about the nature of the Institution of the Continental Boards of Counselors and its relationship to the Institution of the Hands of the Cause, and we feel it is timely for us to give further elucidation.</w:t>
      </w:r>
    </w:p>
    <w:p>
      <w:pPr>
        <w:spacing w:before="0" w:after="160" w:line="276" w:lineRule="auto"/>
        <w:jc w:val="both"/>
      </w:pPr>
      <w:r>
        <w:rPr>
          <w:rFonts w:ascii="Times New Roman" w:hAnsi="Times New Roman"/>
          <w:color w:val="000000"/>
          <w:sz w:val="22"/>
        </w:rPr>
        <w:t>As with so many aspects of the Administrative Order, understanding of this subject will develop and clarify with the passage of time as that Order grows organically in response to the power and guidance of Almighty God and in accordance with the needs of a rapidly developing worldwide community. However, certain aspects are already so clear as to require a proper understanding by the friends.</w:t>
      </w:r>
    </w:p>
    <w:p>
      <w:pPr>
        <w:spacing w:before="0" w:after="160" w:line="276" w:lineRule="auto"/>
        <w:jc w:val="both"/>
      </w:pPr>
      <w:r>
        <w:rPr>
          <w:rFonts w:ascii="Times New Roman" w:hAnsi="Times New Roman"/>
          <w:color w:val="000000"/>
          <w:sz w:val="22"/>
        </w:rPr>
        <w:t>In the Kitáb-i-‘Ahdí (the Book of His Covenant) Bahá’u’lláh wrote “Blessed are the rulers and the learned among the people of Bahá,” and referring to this very passage the beloved Guardian wrote on 4 November 1931:</w:t>
      </w:r>
    </w:p>
    <w:p>
      <w:pPr>
        <w:spacing w:before="0" w:after="160" w:line="276" w:lineRule="auto"/>
        <w:jc w:val="both"/>
      </w:pPr>
      <w:r>
        <w:rPr>
          <w:rFonts w:ascii="Times New Roman" w:hAnsi="Times New Roman"/>
          <w:color w:val="000000"/>
          <w:sz w:val="22"/>
        </w:rPr>
        <w:t>In this holy cycle the “learned” are, on the one hand, the Hands of the Cause of God, and, on the other, the teachers and diffusers of His teachings who do not rank as Hands, but who have attained an eminent position in the teaching work. As to the “rulers” they refer to the members of the Local, National and International Houses of Justice. The duties of each of these souls will be determined in the future.</w:t>
      </w:r>
    </w:p>
    <w:p>
      <w:pPr>
        <w:spacing w:before="0" w:after="160" w:line="276" w:lineRule="auto"/>
        <w:jc w:val="both"/>
      </w:pPr>
      <w:r>
        <w:rPr>
          <w:rFonts w:ascii="Times New Roman" w:hAnsi="Times New Roman"/>
          <w:color w:val="000000"/>
          <w:sz w:val="22"/>
        </w:rPr>
        <w:t>(Translated from the Persian)</w:t>
      </w:r>
    </w:p>
    <w:p>
      <w:pPr>
        <w:spacing w:before="0" w:after="160" w:line="276" w:lineRule="auto"/>
        <w:jc w:val="both"/>
      </w:pPr>
      <w:r>
        <w:rPr>
          <w:rFonts w:ascii="Times New Roman" w:hAnsi="Times New Roman"/>
          <w:color w:val="000000"/>
          <w:sz w:val="22"/>
        </w:rPr>
        <w:t>The Hands of the Cause of God, the Counselors and the members of the Auxiliary Boards fall within the definition of the “learned” given by the beloved Guardian. Thus they are all intimately interrelated and it is not incorrect to refer to the three ranks collectively as one institution.</w:t>
      </w:r>
    </w:p>
    <w:p>
      <w:pPr>
        <w:spacing w:before="0" w:after="160" w:line="276" w:lineRule="auto"/>
        <w:jc w:val="both"/>
      </w:pPr>
      <w:r>
        <w:rPr>
          <w:rFonts w:ascii="Times New Roman" w:hAnsi="Times New Roman"/>
          <w:color w:val="000000"/>
          <w:sz w:val="22"/>
        </w:rPr>
        <w:t>However, each is also a separate institution in itself. The Institution of the Hands of the Cause of God was brought into existence in the time of Bahá’u’lláh and when the Administrative Order was proclaimed and formally established by ‘Abdu’l‑Bahá in His Will, it became an auxiliary institution of the Guardianship. The Auxiliary Boards, in their turn, were brought into being by Shoghi Effendi as an auxiliary institution of the Hands of the Cause.</w:t>
      </w:r>
    </w:p>
    <w:p>
      <w:pPr>
        <w:spacing w:before="0" w:after="160" w:line="276" w:lineRule="auto"/>
        <w:jc w:val="both"/>
      </w:pPr>
      <w:r>
        <w:rPr>
          <w:rFonts w:ascii="Times New Roman" w:hAnsi="Times New Roman"/>
          <w:color w:val="000000"/>
          <w:sz w:val="22"/>
        </w:rPr>
        <w:t>In July 1969 and at Riḍván 1970 further increases in the numbers of Counselors and Auxiliary Board members were made.</w:t>
      </w:r>
    </w:p>
    <w:p>
      <w:pPr>
        <w:spacing w:before="0" w:after="160" w:line="276" w:lineRule="auto"/>
        <w:jc w:val="both"/>
      </w:pPr>
      <w:r>
        <w:rPr>
          <w:rFonts w:ascii="Times New Roman" w:hAnsi="Times New Roman"/>
          <w:color w:val="000000"/>
          <w:sz w:val="22"/>
        </w:rPr>
        <w:t>Other developments in the Institution of the Hands of the Cause and the Institution of the Continental Boards of Counselors will no doubt take place in future as the international teaching center comes into being and as the work of the Counselors expands.</w:t>
      </w:r>
    </w:p>
    <w:p>
      <w:pPr>
        <w:spacing w:before="0" w:after="160" w:line="276" w:lineRule="auto"/>
        <w:jc w:val="both"/>
      </w:pPr>
      <w:r>
        <w:rPr>
          <w:rFonts w:ascii="Times New Roman" w:hAnsi="Times New Roman"/>
          <w:color w:val="000000"/>
          <w:sz w:val="22"/>
        </w:rPr>
        <w:t>In a letter written on 14 March 1927 to the Spiritual Assembly of the Bahá’ís of Istanbul, the Guardian’s Secretary explained, on his behalf, the principle in the Cause of action by majority vote. He pointed out how, in the past, it was certain individuals who “accounted themselves as superior in knowledge and elevated in position” who caused division, and that it was those “who pretended to be the most distinguished of all” who “always proved themselves to be the source of contention.” “But praise be to God,” he continued, “that the Pen of Glory has done away with the unyielding and dictatorial views of the learned and the wise, dismissed the assertions of individuals as an authoritative criterion, even though they were recognized as the most accomplished and learned among men and ordained that all matters be referred to authorized centers and specified Assemblies. Even so, no Assembly has been invested with the absolute authority to deal with such general matters as affect the interests of nations. Nay rather, He has brought all the assemblies together under the shadow of one House of Justice, one divinely appointed Center, so that there would be only one Center and all the rest integrated into a single body, revolving around one expressly designated Pivot, thus making them all proof against schism and division.” (Translated from the Persian.)</w:t>
      </w:r>
    </w:p>
    <w:p>
      <w:pPr>
        <w:spacing w:before="0" w:after="160" w:line="276" w:lineRule="auto"/>
        <w:jc w:val="both"/>
      </w:pPr>
      <w:r>
        <w:rPr>
          <w:rFonts w:ascii="Times New Roman" w:hAnsi="Times New Roman"/>
          <w:color w:val="000000"/>
          <w:sz w:val="22"/>
        </w:rPr>
        <w:t>Having permanently excluded the evils admittedly inherent in the institutions of the “learned” in past dispensations, Bahá’u’lláh has nevertheless embodied in His Administrative Order the beneficent elements which exist in such institutions, elements which are of fundamental value for the progress of the Cause, as can be gauged from even a cursory reading of the Guardian’s message of 4 June 1957.</w:t>
      </w:r>
    </w:p>
    <w:p>
      <w:pPr>
        <w:spacing w:before="0" w:after="160" w:line="276" w:lineRule="auto"/>
        <w:jc w:val="both"/>
      </w:pPr>
      <w:r>
        <w:rPr>
          <w:rFonts w:ascii="Times New Roman" w:hAnsi="Times New Roman"/>
          <w:color w:val="000000"/>
          <w:sz w:val="22"/>
        </w:rPr>
        <w:t>The existence of institutions of such exalted rank, comprising individuals who play such a vital role, who yet have no legislative, administrative or judicial authority, and are entirely devoid of priestly functions or the right to make authoritative interpretations, is a feature of Bahá’í administration unparalleled in the religions of the past. The newness and uniqueness of this concept make it difficult to grasp; only as the Bahá’í Community grows and the believers are increasingly able to contemplate its administrative structure uninfluenced by concepts from past ages, will the vital interdependence of the “rulers” and “learned” in the Faith be properly understood, and the inestimable value of their interaction be fully recognized.</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April 1972 – To the Continental Boards of Counselors and National Spiritual Assemblies</dc:title>
  <dc:subject>Bahá'í Guidance (24 April 1972)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