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28 April 1974</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various questions you set forth in your letter of 18 February were noted, and we offer you the following comments.</w:t>
      </w:r>
    </w:p>
    <w:p>
      <w:pPr>
        <w:spacing w:before="0" w:after="160" w:line="276" w:lineRule="auto"/>
        <w:jc w:val="both"/>
      </w:pPr>
      <w:r>
        <w:rPr>
          <w:rFonts w:ascii="Times New Roman" w:hAnsi="Times New Roman"/>
          <w:color w:val="000000"/>
          <w:sz w:val="22"/>
        </w:rPr>
        <w:t>The Laws of the Kitáb-i-Aqdas, and indeed all the Teachings of the Faith, form a coherent whole; therefore in order to understand their implications they must be considered in their own context. For example, in the case of intestacy, as you have noted, the eldest son receives preferential treatment in certain respects but, as ‘Abdu’l‑Bahá has explained in one of His Tablets, he should take into consideration the needs of the other heirs.</w:t>
      </w:r>
    </w:p>
    <w:p>
      <w:pPr>
        <w:spacing w:before="0" w:after="160" w:line="276" w:lineRule="auto"/>
        <w:jc w:val="both"/>
      </w:pPr>
      <w:r>
        <w:rPr>
          <w:rFonts w:ascii="Times New Roman" w:hAnsi="Times New Roman"/>
          <w:color w:val="000000"/>
          <w:sz w:val="22"/>
        </w:rPr>
        <w:t>You should, therefore, when studying the Synopsis and Codification of the Laws and Ordinances of the Kitáb-i-Aqdas, bear these factors in mind, and always remember Bahá’u’lláh’s exhortation to “Weigh not the Book of God with such standards and sciences as are current amongst you, for the Book itself is the unerring balance established amongst men. In this most perfect balance whatsoever the peoples and kindreds of the earth possess must be weighed, while the measure of its weight should be tested according to its own standard, did ye but know it.”</w:t>
      </w:r>
    </w:p>
    <w:p>
      <w:pPr>
        <w:spacing w:before="0" w:after="160" w:line="276" w:lineRule="auto"/>
        <w:jc w:val="both"/>
      </w:pPr>
      <w:r>
        <w:rPr>
          <w:rFonts w:ascii="Times New Roman" w:hAnsi="Times New Roman"/>
          <w:color w:val="000000"/>
          <w:sz w:val="22"/>
        </w:rPr>
        <w:t>The equality of men and women, as ‘Abdu’l‑Bahá has often explained, is a fundamental principle of Bahá’u’lláh; therefore the Laws of the Aqdas should be studied in the light of this. Equality between men and women does not, indeed physiologically it cannot, mean identity of function. In some things women excel men, in others men are better than women, while in very many things the difference in sex is of no effect at all. The differences are most apparent in family life. The capacity for motherhood has many far-reaching effects. For example, because of this, daughters receive preference in education over sons. Again, for physiological reasons, women are granted exemptions from fasting that are not applied to men.</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April 1974 – [To an individual]</dc:title>
  <dc:subject>Bahá'í Guidance (28 April 1974)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