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11 October 1978</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Each individual is unique and has a unique path to tread in his lifetime. In espousing the Bahá’í Faith you have defined the direction of that path, for your recognition of God’s Manifestation for this Day and your devotion to His Message provide the spiritual and ethical basis for all aspects of your life of service to mankind, while the continuing guidance that He has provided for the community of His followers enables you to know the directions in which the most effort is required at the present time.</w:t>
      </w:r>
    </w:p>
    <w:p>
      <w:pPr>
        <w:spacing w:before="0" w:after="160" w:line="276" w:lineRule="auto"/>
        <w:jc w:val="both"/>
      </w:pPr>
      <w:r>
        <w:rPr>
          <w:rFonts w:ascii="Times New Roman" w:hAnsi="Times New Roman"/>
          <w:color w:val="000000"/>
          <w:sz w:val="22"/>
        </w:rPr>
        <w:t>You mention that the answers to your prayers never seem to have come through clearly. Mrs. Ruth Moffett has published her recollection of five steps of prayer for guidance that she was told by the beloved Guardian. When asked about these notes, Shoghi Effendi replied, in letters written by his secretary on his behalf, that the notes should be regarded as “personal suggestions,” that he considered them to be “quite sound,” but that the friends need not adopt them “strictly and universally.” The House of Justice feels that they may be helpful to you and, indeed, you may already be familiar with them. They are as follows:</w:t>
      </w:r>
    </w:p>
    <w:p>
      <w:pPr>
        <w:spacing w:before="0" w:after="160" w:line="276" w:lineRule="auto"/>
        <w:jc w:val="both"/>
      </w:pPr>
      <w:r>
        <w:rPr>
          <w:rFonts w:ascii="Times New Roman" w:hAnsi="Times New Roman"/>
          <w:color w:val="000000"/>
          <w:sz w:val="22"/>
        </w:rPr>
        <w:t>… use these five steps if we have a problem of any kind for which we desire a solution, or wish help.</w:t>
      </w:r>
    </w:p>
    <w:p>
      <w:pPr>
        <w:spacing w:before="0" w:after="160" w:line="276" w:lineRule="auto"/>
        <w:jc w:val="both"/>
      </w:pPr>
      <w:r>
        <w:rPr>
          <w:rFonts w:ascii="Times New Roman" w:hAnsi="Times New Roman"/>
          <w:color w:val="000000"/>
          <w:sz w:val="22"/>
        </w:rPr>
        <w:t>Pray and meditate about it. Use the prayers of the Manifestations, as they have the greatest power. Learn to remain in the silence of contemplation for a few moments. During this deepest communion take the next step.</w:t>
      </w:r>
    </w:p>
    <w:p>
      <w:pPr>
        <w:spacing w:before="0" w:after="160" w:line="276" w:lineRule="auto"/>
        <w:jc w:val="both"/>
      </w:pPr>
      <w:r>
        <w:rPr>
          <w:rFonts w:ascii="Times New Roman" w:hAnsi="Times New Roman"/>
          <w:color w:val="000000"/>
          <w:sz w:val="22"/>
        </w:rPr>
        <w:t>Arrive at a decision and hold to this. This decision is usually born in a flash at the close or during the contemplation. It may seem almost impossible of accomplishment, but if it seems to be an answer to prayer or a way of solving the problem, then immediately take the next step.</w:t>
      </w:r>
    </w:p>
    <w:p>
      <w:pPr>
        <w:spacing w:before="0" w:after="160" w:line="276" w:lineRule="auto"/>
        <w:jc w:val="both"/>
      </w:pPr>
      <w:r>
        <w:rPr>
          <w:rFonts w:ascii="Times New Roman" w:hAnsi="Times New Roman"/>
          <w:color w:val="000000"/>
          <w:sz w:val="22"/>
        </w:rPr>
        <w:t>Have determination to carry the decision through. Many fail here. The decision, budding into determination, is blighted and instead becomes a wish or a vague longing. When determination is born, immediately take the next step.</w:t>
      </w:r>
    </w:p>
    <w:p>
      <w:pPr>
        <w:spacing w:before="0" w:after="160" w:line="276" w:lineRule="auto"/>
        <w:jc w:val="both"/>
      </w:pPr>
      <w:r>
        <w:rPr>
          <w:rFonts w:ascii="Times New Roman" w:hAnsi="Times New Roman"/>
          <w:color w:val="000000"/>
          <w:sz w:val="22"/>
        </w:rPr>
        <w:t>Have faith and confidence, that the Power of the Holy Spirit will flow through you, the right way will appear, the door will open, the right message, the right principle or the right book will be given to you. Have confidence, and the right thing will come to meet your need. Then as you rise from prayer take immediately the fifth step.</w:t>
      </w:r>
    </w:p>
    <w:p>
      <w:pPr>
        <w:spacing w:before="0" w:after="160" w:line="276" w:lineRule="auto"/>
        <w:jc w:val="both"/>
      </w:pPr>
      <w:r>
        <w:rPr>
          <w:rFonts w:ascii="Times New Roman" w:hAnsi="Times New Roman"/>
          <w:color w:val="000000"/>
          <w:sz w:val="22"/>
        </w:rPr>
        <w:t>Act as though it had all been answered. Then act with tireless, ceaseless energy. And, as you act, you yourself will become a magnet which will attract more power to your being, until you become an unobstructed channel for the Divine Power to flow through you.</w:t>
      </w:r>
    </w:p>
    <w:p>
      <w:pPr>
        <w:spacing w:before="0" w:after="160" w:line="276" w:lineRule="auto"/>
        <w:jc w:val="both"/>
      </w:pPr>
      <w:r>
        <w:rPr>
          <w:rFonts w:ascii="Times New Roman" w:hAnsi="Times New Roman"/>
          <w:color w:val="000000"/>
          <w:sz w:val="22"/>
        </w:rPr>
        <w:t>Also the Guardian’s secretary wrote to an individual believer on his behalf: “The Master said guidance was when the doors opened after we tried. We can pray, ask to do God’s will only, try hard, and then if we find our plan is not working out, assume it is not the right one, at least for the moment.”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October 1978 – [To an individual]</dc:title>
  <dc:subject>Bahá'í Guidance (11 October 1978)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