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11 April 1985</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While some opportunities for service in the Administrative Order are clearly reserved for those who are over twenty-one years of age, the importance of attaining spiritual maturity at the age of fifteen is that it marks that point in life at which the believer takes firmly into his own hands the responsibility for his spiritual destiny. At age fifteen, the individual has the privilege of affirming, in his own name, his faith in Bahá’u’lláh. For while the children of Bahá’í parents are considered to be Bahá’ís, they do not automatically inherit the Faith of their parents. Therefore, when they come of age, they must, of their own volition, express their belief.</w:t>
      </w:r>
    </w:p>
    <w:p>
      <w:pPr>
        <w:spacing w:before="0" w:after="160" w:line="276" w:lineRule="auto"/>
        <w:jc w:val="both"/>
      </w:pPr>
      <w:r>
        <w:rPr>
          <w:rFonts w:ascii="Times New Roman" w:hAnsi="Times New Roman"/>
          <w:color w:val="000000"/>
          <w:sz w:val="22"/>
        </w:rPr>
        <w:t>Having reached the age of fifteen, Bahá’í youth are personally responsible for certain spiritual activities such as observing the obligation of daily prayer, keeping the Fast, and they are invited to participate in Bahá’í youth activities. The significance of the age of maturity, however, goes far beyond the fulfillment of responsibilities. The following extract from a Tablet of ‘Abdu’l‑Bahá links the attainment of maturity with the deepening of one’s understanding and comprehension of the realities of life, and the enhancement of one’s very capacity for understanding:</w:t>
      </w:r>
    </w:p>
    <w:p>
      <w:pPr>
        <w:spacing w:before="0" w:after="160" w:line="276" w:lineRule="auto"/>
        <w:jc w:val="both"/>
      </w:pPr>
      <w:r>
        <w:rPr>
          <w:rFonts w:ascii="Times New Roman" w:hAnsi="Times New Roman"/>
          <w:color w:val="000000"/>
          <w:sz w:val="22"/>
        </w:rPr>
        <w:t>Know thou that before maturity man liveth from day to day and comprehendeth only such matters as are superficial and outwardly obvious. However, when he cometh of age he understandeth the realities of things and the inner truths. Indeed, in his comprehension, his feelings, his deductions and his discoveries, every day of his life after maturity is equal to a year before it.</w:t>
      </w:r>
    </w:p>
    <w:p>
      <w:pPr>
        <w:spacing w:before="0" w:after="160" w:line="276" w:lineRule="auto"/>
        <w:jc w:val="both"/>
      </w:pPr>
      <w:r>
        <w:rPr>
          <w:rFonts w:ascii="Times New Roman" w:hAnsi="Times New Roman"/>
          <w:color w:val="000000"/>
          <w:sz w:val="22"/>
        </w:rPr>
        <w:t>The signing of a card is simply the means by which the individual indicates his desire to be registered as a Bahá’í youth, as a member of the Bahá’í community, and it enables the National Spiritual Assembly to keep an accurate record of the membership of the community.…</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April 1985 – [To an individual]</dc:title>
  <dc:subject>Bahá'í Guidance (11 April 1985)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