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27 June 2012</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The House of Justice considers that at this time any such material offering from the Bahá’ís in Iran risks being misrepresented by the enemies of the Faith and could become a cause of fresh injury to the members of this already sorely tried community. Therefore, it is best that they continue to expend their resources for the betterment of their society and the financial support of their community. Yet, the yearning of these steadfast believers to promote the interests of the Cause and provide for its needs worldwide should not be left unanswered. The House of Justice has, accordingly, decided to contribute five million dollars to the Temples Fund on their behalf.</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June 2012 – To all National Spiritual Assemblies</dc:title>
  <dc:subject>Bahá'í Guidance (27 June 2012)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