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 January 2016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address you these words from the gathering where, for five successive days, the Continental Counsellors have earnestly considered the implications of the next global Plan. Their insightful consultations drew on the impressive body of knowledge about the process of capacity building that is being generated in thousands of clusters worldwide. The numerous accounts that were shared in the course of the Conference attested the creativity, tenacity, and burgeoning abilities of the community of the Greatest Name and, above all, its reliance on the confirmations of the Almighty. There is a growing appreciation among people in all parts of the world of the efficacy of Bahá’u’lláh’s remedy for healing the maladies of society.</w:t>
      </w:r>
    </w:p>
    <w:p>
      <w:pPr>
        <w:spacing w:before="0" w:after="160" w:line="276" w:lineRule="auto"/>
        <w:jc w:val="both"/>
      </w:pPr>
      <w:r>
        <w:rPr>
          <w:rFonts w:ascii="Times New Roman" w:hAnsi="Times New Roman"/>
          <w:color w:val="000000"/>
          <w:sz w:val="22"/>
        </w:rPr>
        <w:t>The provisions of the coming Five Year Plan are contained in the message that we addressed to the Conference on its opening day and which was at the same time distributed to all National Spiritual Assemblies. The colossal effort that will be asked from the loved ones of the Lord was clearly recognized by the Counsellors, but they also voiced their confidence in the capacity of the Bahá’í world to face this challenge. At no earlier time could such an undertaking have been seriously contemplated, but given what is being achieved in the present Plan, the realms of possibility are wider than ever before. Our hearts were moved by the reports that began to arrive, within hours of our message to the Conference being released, of the friends eagerly coming together in settings of all kinds to help one another become familiar with its contents. We hope that study of the message will spread rapidly throughout the community. Meanwhile, the institutions will be putting in place whatever administrative and organizational arrangements are necessary to ensure the most auspicious start to the Plan at Riḍván.</w:t>
      </w:r>
    </w:p>
    <w:p>
      <w:pPr>
        <w:spacing w:before="0" w:after="160" w:line="276" w:lineRule="auto"/>
        <w:jc w:val="both"/>
      </w:pPr>
      <w:r>
        <w:rPr>
          <w:rFonts w:ascii="Times New Roman" w:hAnsi="Times New Roman"/>
          <w:color w:val="000000"/>
          <w:sz w:val="22"/>
        </w:rPr>
        <w:t>In the few months that remain before then, the work of the current Plan, establishing new programmes of growth in particular, will continue to be pursued. Every step taken in that direction will increase the readiness of the worldwide community to begin the next five-year enterprise. Each moment is precious. We long to see every believer choose the path of consecrated service and high endeavour to which ‘Abdu’l‑Bahá repeatedly summoned the friends in the Tablets of the Divine Plan. In our supplications on your behalf, we will beseech the Author of that Plan to intercede before the throne of His Father that He might guide you in your service as long as there are souls in need of the bread of heaven.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January 2016 – To the Bahá’ís of the World</dc:title>
  <dc:subject>Bahá'í Guidance (2 January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