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31 October 2017</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Reports continue to stream in from all continents, but we will wait no longer to communicate to you our unbounded joy. The outpouring of love and esteem for Bahá’u’lláh witnessed around the world at His bicentenary has moved us greatly. In settings of all kinds, from homes to stadiums, His life was celebrated with the utmost devotion and remarkable creativity. At many a gathering, guests outnumbered the Bahá’ís several times over; in some island nations, participation may be measured as a proportion of all the inhabitants. Truly, we confess our astonishment at the flood of grace Bahá’u’lláh has poured forth. And in every precious effort made to honour Him, we recognize the wholehearted striving of each believer to attain a full share. With all that transpired, we know that every one of you will wish to reflect on the implications for the progress of the Cause in your own locality. We urge you to see in each person who responded to your invitation a potential protagonist in the community-building process. Consider how conditions may be created that would enable many to walk this path together. Connected to the transformative power of the Revelation, every soul can draw closer to Bahá’u’lláh, grow in capacity, find joy in service, and learn to assist others. The results of the magnificent effort you have made offer tremendous promise—but fulfilling that promise will require fortitude. Let the forces released in this period lend impetus to your personal and collective endeavours during the remainder of this bicentennial year and, indeed, through all eight cycles leading up to the two hundredth anniversary of the Birth of the Báb. With our expectations heightened and our hearts imploring divine favours on your behalf, we give praise to the Ancient Beauty, a fresh glimpse of Whose soul-entrancing glory He has in these days chosen to disclose.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October 2017 – To the Bahá’ís of the World</dc:title>
  <dc:subject>Bahá'í Guidance (31 October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