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8 April 2025</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DATE: 8 April 2025</w:t>
      </w:r>
    </w:p>
    <w:p>
      <w:pPr>
        <w:spacing w:before="280" w:after="120"/>
        <w:jc w:val="left"/>
      </w:pPr>
      <w:r>
        <w:rPr>
          <w:rFonts w:ascii="Times New Roman" w:hAnsi="Times New Roman"/>
          <w:b/>
          <w:color w:val="000000"/>
          <w:sz w:val="22"/>
        </w:rPr>
        <w:t>MESSAGE:</w:t>
      </w:r>
    </w:p>
    <w:p>
      <w:pPr>
        <w:spacing w:before="0" w:after="160" w:line="276" w:lineRule="auto"/>
        <w:jc w:val="both"/>
      </w:pPr>
      <w:r>
        <w:rPr>
          <w:rFonts w:ascii="Times New Roman" w:hAnsi="Times New Roman"/>
          <w:color w:val="000000"/>
          <w:sz w:val="22"/>
        </w:rPr>
        <w:t>It is with hearts brimming with joy that we announce that the conditions in the Philippines now make it possible for a national Mashriqu’l-Adhkár to be raised up in the vicinity of Manila. The project to construct this edifice joins the six other Temple projects announced since the commencement of the Nine Year Plan.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April 2025 – To all National Spiritual Assemblies</dc:title>
  <dc:subject>Bahá'í Guidance (8 April 2025)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