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Riḍván 2001</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With great joy in our hearts and high expectations, we come to this Riḍván season at a change of time, when a new state of mind is evident among us all. Abroad in our world community there is a heightened awareness of the value of process, the necessity of planning and the virtue of systematic action in fostering growth and in developing the human resources by which expansion can be sustained and consolidation assured. The coherence of understanding about these prerequisites of progress cannot be overvalued, nor can the importance of perpetuating them through well-ordered training be overestimated. And so the arrival of our community at such a moment of consciousness is an occasion of signiﬁcance for us. We are deeply grateful to the Blessed Beauty to be able to recognize and acclaim it at the very beginning of the global enterprise being launched during these festive days.</w:t>
      </w:r>
    </w:p>
    <w:p>
      <w:pPr>
        <w:spacing w:before="0" w:after="160" w:line="276" w:lineRule="auto"/>
        <w:jc w:val="both"/>
      </w:pPr>
      <w:r>
        <w:rPr>
          <w:rFonts w:ascii="Times New Roman" w:hAnsi="Times New Roman"/>
          <w:color w:val="000000"/>
          <w:sz w:val="22"/>
        </w:rPr>
        <w:t>The power of will generated by this consciousness characterized the conference of the Continental Counsellors and the members of their Auxiliary Boards who gathered last January in the Holy Land. The event produced so illuminating an experience as to signalize the Faith’s entry into a new epoch, the ﬁfth of its Formative Age. Such a freshness of vitality as was displayed at this historic gathering came to be understood as a manifestation of the rising quality of activity throughout the community. Pursuit during the past year of the essentials for advancing the process of entry by troops conﬁrmed this observation. The path was thus paved for the Five Year Plan, the ﬁrst venture being entered upon in the Fifth Epoch.</w:t>
      </w:r>
    </w:p>
    <w:p>
      <w:pPr>
        <w:spacing w:before="0" w:after="160" w:line="276" w:lineRule="auto"/>
        <w:jc w:val="both"/>
      </w:pPr>
      <w:r>
        <w:rPr>
          <w:rFonts w:ascii="Times New Roman" w:hAnsi="Times New Roman"/>
          <w:color w:val="000000"/>
          <w:sz w:val="22"/>
        </w:rPr>
        <w:t>In augmenting major efforts of the previous Four Year Plan that brought into being more than 300 training institutes, the Twelve Month Plan achieved its purpose. It gathered signiﬁcance through the notable responses of institutions and individuals to the call for a greater focus on the spiritual nurturing of children and the involvement of junior youth in Bahá’í community life. The training of teachers of children’s classes and the inclusion of junior youth in the institute process have become a regular part of Bahá’í activity in a number of countries. Despite its brevity, the Twelve Month Plan had an importance beyond the objectives speciﬁcally assigned. The Plan was a dynamic link between a highly eventful epoch in Bahá’í history and the immensely promising prospects of a new one, for which its achievements have so well prepared the community. It has been etched in our annals, too, for the enduring effects of the Faith’s activities at the end of the twentieth century—a century that deserves to be reﬂected upon by any Bahá’í who wishes to understand the tumultuous forces that inﬂuenced the life of the planet and the processes of the Cause itself at a crucial time in humanity’s social and spiritual evolution. As an aid to so worthy an effort, Century of Light, a review of the twentieth century, was prepared at our request and under our supervision.</w:t>
      </w:r>
    </w:p>
    <w:p>
      <w:pPr>
        <w:spacing w:before="0" w:after="160" w:line="276" w:lineRule="auto"/>
        <w:jc w:val="both"/>
      </w:pPr>
      <w:r>
        <w:rPr>
          <w:rFonts w:ascii="Times New Roman" w:hAnsi="Times New Roman"/>
          <w:color w:val="000000"/>
          <w:sz w:val="22"/>
        </w:rPr>
        <w:t>On many occasions during this one-year endeavor, the external affairs activities of the Faith were especially visible. Consider, for example, the instances of Bahá’í representatives’ having participated prominently in the millennial events that took place in May, August and September at the urging of the Secretary-General of the United Nations. The implications of so close and conspicuous an involvement of the Bahá’í International Community with the processes of the Lesser Peace will require the passage of time to be properly understood. Among other highlights was the continental colloquium organized in India by the Institute for Studies in Global Prosperity, a new agency operating under the aegis of the Bahá’í International Community. Adopting the theme of “science, religion and development,” the conference featured the participation of leading nongovernmental organizations of India, as well as that of institutions of such renown as UNESCO, UNICEF, WHO and the World Bank. In October, the Bahá’í World News Service (BWNS) was launched on the Internet with the intention of reaching both Bahá’í and non-Bahá’í audiences with news stories about developments throughout the Bahá’í world.</w:t>
      </w:r>
    </w:p>
    <w:p>
      <w:pPr>
        <w:spacing w:before="0" w:after="160" w:line="276" w:lineRule="auto"/>
        <w:jc w:val="both"/>
      </w:pPr>
      <w:r>
        <w:rPr>
          <w:rFonts w:ascii="Times New Roman" w:hAnsi="Times New Roman"/>
          <w:color w:val="000000"/>
          <w:sz w:val="22"/>
        </w:rPr>
        <w:t>The intensive activities at the Bahá’í World Centre during the last year were, for the most part, made known to the friends through previous reports that included references to such achievements as the occupation by the International Teaching Centre of its permanent seat on Mount Carmel; the Conference of Continental Counsellors and the members of their Auxiliary Boards held in the Holy Land last January; and the completion of the Mount Carmel projects, which are now receiving ﬁnishing touches in preparation for the celebratory events in May. Last October, for the ﬁrst time, pilgrims and visitors were received at the new Reception Centre in Haifa, which became fully operational. At Bahjí the embellishment of the sacred site through the development of its gardens has proceeded continually; the effort has, however, received a boost from the new project initiated last year to construct a Visitors’ Centre towards the northern end of the property beyond the Collins Gate. Scheduled for completion in the next few months, the structure is fully in place, and work is progressing in all areas, including ﬁnishing and landscaping. The new facilities will improve the ability of the World Centre to receive increasing numbers of pilgrims, short-term Bahá’í visitors, and special guests.</w:t>
      </w:r>
    </w:p>
    <w:p>
      <w:pPr>
        <w:spacing w:before="0" w:after="160" w:line="276" w:lineRule="auto"/>
        <w:jc w:val="both"/>
      </w:pPr>
      <w:r>
        <w:rPr>
          <w:rFonts w:ascii="Times New Roman" w:hAnsi="Times New Roman"/>
          <w:color w:val="000000"/>
          <w:sz w:val="22"/>
        </w:rPr>
        <w:t>To conclude this summary of the year, we rejoice in informing you that, after the lapse of almost three decades, the National Spiritual Assembly of the Bahá’ís of Indonesia was restored at the National Convention held in Jakarta last Riḍván. A ban imposed on Bahá’í activities in August 1962 severely restricted the actions of the Indonesian Bahá’ís for all that time, but they remained steadfast and wise in their long-suffering until changed circumstances in that country resulted in the lifting of the ban. May we not venture to hope, then, that a similar happy report concerning our beleaguered co-religionists in Iran, Egypt and other countries will not be too far distant? Dear Friends: Two decades from now the Bahá’í world will celebrate the centenary of the inception of the Formative Age. We look back at the dawning of the Age from the vantage point of attainments that could hardly have been imagined at the outset. Up ahead are horizons that urgently summon the community to even greater achievements in the short span separating it from that centennial. Those heights can and must be scaled. The Five Year Plan, to which we call the urgent and sustained attention of the friends throughout the world, is intended to meet this challenge. It constitutes the ﬁrst of a series of campaigns that will be pursued during these twenty years. This Plan marks the next phase in the aim to accomplish a signiﬁcant advance in the process of entry by troops. It demands an acceleration of this vital process and, furthermore, insists upon continuity in systematic endeavor on the part of its three constituent participants: the individual, the institutions, and the community.</w:t>
      </w:r>
    </w:p>
    <w:p>
      <w:pPr>
        <w:spacing w:before="0" w:after="160" w:line="276" w:lineRule="auto"/>
        <w:jc w:val="both"/>
      </w:pPr>
      <w:r>
        <w:rPr>
          <w:rFonts w:ascii="Times New Roman" w:hAnsi="Times New Roman"/>
          <w:color w:val="000000"/>
          <w:sz w:val="22"/>
        </w:rPr>
        <w:t>No need to elaborate on the requirements of the Plan, for these were set out in our message to the assembled Counsellors in the Holy Land and subsequently shared with all National Spiritual Assemblies. Soon after their conference, the Counsellors began consulting with the National Assemblies about the execution of the Plan in their respective jurisdictions. The Plan’s direction is therefore known to the friends everywhere, as regional and local preparations for pursuing its major aim are under way. There is a general awareness by now that efforts will be made to effect a deeper penetration of the Faith into more and more regions within countries. For example, where circumstances permit, local communities that exist in close proximity to each other will be mobilized to participate in intensive programs of growth. Other approaches will require methodical opening of new areas for which homefront pioneers must be raised up in the same consecrated spirit that prompted those who scattered abroad at earlier times to open virgin territories across continents and seas. Sufﬁce it to say that the process animating this divinely driven enterprise will eventually expand as related features are gradually introduced and systematically integrated into its operation.</w:t>
      </w:r>
    </w:p>
    <w:p>
      <w:pPr>
        <w:spacing w:before="0" w:after="160" w:line="276" w:lineRule="auto"/>
        <w:jc w:val="both"/>
      </w:pPr>
      <w:r>
        <w:rPr>
          <w:rFonts w:ascii="Times New Roman" w:hAnsi="Times New Roman"/>
          <w:color w:val="000000"/>
          <w:sz w:val="22"/>
        </w:rPr>
        <w:t>A feature of the Fifth Epoch will be the enrichment of the devotional life of the community through the raising up of national Houses of Worship, as circumstances in national communities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Riḍván 2001 To the Bahá'ís of the</dc:title>
  <dc:subject>Bahá'í Guidance (Riḍván 2001)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