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2001-12-22</w:t>
      </w:r>
    </w:p>
    <w:p>
      <w:pPr>
        <w:spacing w:before="0" w:after="360"/>
        <w:jc w:val="left"/>
      </w:pPr>
      <w:r>
        <w:rPr>
          <w:rFonts w:ascii="Times New Roman" w:hAnsi="Times New Roman"/>
          <w:b w:val="0"/>
          <w:color w:val="000000"/>
          <w:sz w:val="22"/>
        </w:rPr>
        <w:t>To the Friends Gathered at the Eighth ASEAN</w:t>
      </w:r>
    </w:p>
    <w:p>
      <w:pPr>
        <w:spacing w:before="0" w:after="160" w:line="276" w:lineRule="auto"/>
        <w:jc w:val="both"/>
      </w:pPr>
      <w:r>
        <w:rPr>
          <w:rFonts w:ascii="Times New Roman" w:hAnsi="Times New Roman"/>
          <w:color w:val="000000"/>
          <w:sz w:val="22"/>
        </w:rPr>
        <w:t>Youth Conference in Thailand Dear Bahá’í Friends, We send our loving greetings to all those gathered at the Eighth ASEAN Youth Conference. The Five Year Plan, which will undoubtedly be the focus of your consultations over the next few days, requires concentrated and sustained attention to two essential movements. The ﬁrst is the steady ﬂow of believers through the sequence of courses offered by training institutes, for the purpose of developing the human resources of the Cause. The second, which receives its impetus from the ﬁrst, is the movement of geographic clusters from one stage of growth to the next. That Bahá’í youth must be intensely involved in both of these—indeed, that they must be a driving force behind them—goes without saying. We urge you, then, to cast your deliberations in the framework of these two pressing requirements. Ask yourselves how, as individuals, as members of your local and national communities, and as the vanguard of an entire generation in your region, you can ensure that the advancement in the process of entry by troops, called for by the Five Year Plan, is achieved in each of your countries.</w:t>
      </w:r>
    </w:p>
    <w:p>
      <w:pPr>
        <w:spacing w:before="0" w:after="160" w:line="276" w:lineRule="auto"/>
        <w:jc w:val="both"/>
      </w:pPr>
      <w:r>
        <w:rPr>
          <w:rFonts w:ascii="Times New Roman" w:hAnsi="Times New Roman"/>
          <w:color w:val="000000"/>
          <w:sz w:val="22"/>
        </w:rPr>
        <w:t>We shall remember you in our prayers in the Holy Shrines.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Eighth ASEAN</dc:title>
  <dc:subject>Bahá'í Guidance (2001-12-22)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