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Muhj20190507</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7. Mai 2019</w:t>
      </w:r>
    </w:p>
    <w:p>
      <w:pPr>
        <w:spacing w:after="140" w:line="288" w:lineRule="auto"/>
      </w:pPr>
      <w:r>
        <w:rPr>
          <w:rFonts w:ascii="Consolas" w:hAnsi="Consolas"/>
          <w:color w:val="9A7A38"/>
          <w:sz w:val="18"/>
        </w:rPr>
        <w:t xml:space="preserve">[3]  </w:t>
      </w:r>
      <w:r>
        <w:rPr>
          <w:rFonts w:ascii="Georgia" w:hAnsi="Georgia"/>
          <w:color w:val="2A2927"/>
          <w:sz w:val="22"/>
        </w:rPr>
        <w:t>0_3 An alle Nationalen Geistigen Räte</w:t>
      </w:r>
    </w:p>
    <w:p>
      <w:pPr>
        <w:spacing w:after="140" w:line="288" w:lineRule="auto"/>
      </w:pPr>
      <w:r>
        <w:rPr>
          <w:rFonts w:ascii="Consolas" w:hAnsi="Consolas"/>
          <w:color w:val="9A7A38"/>
          <w:sz w:val="18"/>
        </w:rPr>
        <w:t xml:space="preserve">[4]  </w:t>
      </w:r>
      <w:r>
        <w:rPr>
          <w:rFonts w:ascii="Georgia" w:hAnsi="Georgia"/>
          <w:color w:val="2A2927"/>
          <w:sz w:val="22"/>
        </w:rPr>
        <w:t>0_4 BOTSCHAFT:</w:t>
      </w:r>
    </w:p>
    <w:p>
      <w:pPr>
        <w:spacing w:after="140" w:line="288" w:lineRule="auto"/>
      </w:pPr>
      <w:r>
        <w:rPr>
          <w:rFonts w:ascii="Consolas" w:hAnsi="Consolas"/>
          <w:color w:val="9A7A38"/>
          <w:sz w:val="18"/>
        </w:rPr>
        <w:t xml:space="preserve">[5]  </w:t>
      </w:r>
      <w:r>
        <w:rPr>
          <w:rFonts w:ascii="Georgia" w:hAnsi="Georgia"/>
          <w:color w:val="2A2927"/>
          <w:sz w:val="22"/>
        </w:rPr>
        <w:t>1 Wir sind hocherfreut, die Ernennung von Herrn Hossein Amanat aus Kanada zum Architekten des Schreins ‘Abdu’l-Bahás bekanntzugeben.</w:t>
      </w:r>
    </w:p>
    <w:p>
      <w:pPr>
        <w:spacing w:after="140" w:line="288" w:lineRule="auto"/>
      </w:pPr>
      <w:r>
        <w:rPr>
          <w:rFonts w:ascii="Consolas" w:hAnsi="Consolas"/>
          <w:color w:val="9A7A38"/>
          <w:sz w:val="18"/>
        </w:rPr>
        <w:t xml:space="preserve">[6]  </w:t>
      </w:r>
      <w:r>
        <w:rPr>
          <w:rFonts w:ascii="Georgia" w:hAnsi="Georgia"/>
          <w:color w:val="2A2927"/>
          <w:sz w:val="22"/>
        </w:rPr>
        <w:t>2 Wir sind ebenfalls erfreut, die Einrichtung eines Fonds für den Bau des Schreins bekannt zu geben. Es ist unser innigster Wunsch, dass dieses heilige Bauwerk durch die universelle Teilnahme der Freunde errichtet wird.</w:t>
      </w:r>
    </w:p>
    <w:p>
      <w:pPr>
        <w:spacing w:after="140" w:line="288" w:lineRule="auto"/>
      </w:pPr>
      <w:r>
        <w:rPr>
          <w:rFonts w:ascii="Consolas" w:hAnsi="Consolas"/>
          <w:color w:val="9A7A38"/>
          <w:sz w:val="18"/>
        </w:rPr>
        <w:t xml:space="preserve">[7]  </w:t>
      </w:r>
      <w:r>
        <w:rPr>
          <w:rFonts w:ascii="Georgia" w:hAnsi="Georgia"/>
          <w:color w:val="2A2927"/>
          <w:sz w:val="22"/>
        </w:rPr>
        <w:t>2_5 [gezeichnet: Das Universale Haus der Gerechtigkeit]</w:t>
      </w:r>
    </w:p>
    <w:p>
      <w:pPr>
        <w:spacing w:after="140" w:line="288" w:lineRule="auto"/>
      </w:pPr>
      <w:r>
        <w:rPr>
          <w:rFonts w:ascii="Consolas" w:hAnsi="Consolas"/>
          <w:color w:val="9A7A38"/>
          <w:sz w:val="18"/>
        </w:rPr>
        <w:t xml:space="preserve">[8]  </w:t>
      </w:r>
      <w:r>
        <w:rPr>
          <w:rFonts w:ascii="Georgia" w:hAnsi="Georgia"/>
          <w:color w:val="2A2927"/>
          <w:sz w:val="22"/>
        </w:rPr>
        <w:t>2_6 Kopie: Internationales Lehrzentrum, Beraterämter, Berater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