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Uhj Muhj20240726</w:t>
      </w:r>
    </w:p>
    <w:p>
      <w:pPr>
        <w:spacing w:after="280"/>
      </w:pPr>
      <w:r>
        <w:rPr>
          <w:rFonts w:ascii="Georgia" w:hAnsi="Georgia"/>
          <w:i/>
          <w:color w:val="9A7A38"/>
          <w:sz w:val="22"/>
        </w:rPr>
        <w:t>Universales Haus der Gerechtigkeit — Schriften des Universalen Hauses der Gerechtigkeit</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0_1 Das Universale Haus der Gerechtigkeit</w:t>
      </w:r>
    </w:p>
    <w:p>
      <w:pPr>
        <w:spacing w:after="140" w:line="288" w:lineRule="auto"/>
      </w:pPr>
      <w:r>
        <w:rPr>
          <w:rFonts w:ascii="Consolas" w:hAnsi="Consolas"/>
          <w:color w:val="9A7A38"/>
          <w:sz w:val="18"/>
        </w:rPr>
        <w:t xml:space="preserve">[2]  </w:t>
      </w:r>
      <w:r>
        <w:rPr>
          <w:rFonts w:ascii="Georgia" w:hAnsi="Georgia"/>
          <w:color w:val="2A2927"/>
          <w:sz w:val="22"/>
        </w:rPr>
        <w:t>0_2 26. Juli 2024</w:t>
      </w:r>
    </w:p>
    <w:p>
      <w:pPr>
        <w:spacing w:after="140" w:line="288" w:lineRule="auto"/>
      </w:pPr>
      <w:r>
        <w:rPr>
          <w:rFonts w:ascii="Consolas" w:hAnsi="Consolas"/>
          <w:color w:val="9A7A38"/>
          <w:sz w:val="18"/>
        </w:rPr>
        <w:t xml:space="preserve">[3]  </w:t>
      </w:r>
      <w:r>
        <w:rPr>
          <w:rFonts w:ascii="Georgia" w:hAnsi="Georgia"/>
          <w:color w:val="2A2927"/>
          <w:sz w:val="22"/>
        </w:rPr>
        <w:t>0_3 An alle Nationalen Geistigen Räte</w:t>
      </w:r>
    </w:p>
    <w:p>
      <w:pPr>
        <w:spacing w:after="140" w:line="288" w:lineRule="auto"/>
      </w:pPr>
      <w:r>
        <w:rPr>
          <w:rFonts w:ascii="Consolas" w:hAnsi="Consolas"/>
          <w:color w:val="9A7A38"/>
          <w:sz w:val="18"/>
        </w:rPr>
        <w:t xml:space="preserve">[4]  </w:t>
      </w:r>
      <w:r>
        <w:rPr>
          <w:rFonts w:ascii="Georgia" w:hAnsi="Georgia"/>
          <w:color w:val="2A2927"/>
          <w:sz w:val="22"/>
        </w:rPr>
        <w:t>0_4 Innig geliebte Freunde,</w:t>
      </w:r>
    </w:p>
    <w:p>
      <w:pPr>
        <w:spacing w:after="140" w:line="288" w:lineRule="auto"/>
      </w:pPr>
      <w:r>
        <w:rPr>
          <w:rFonts w:ascii="Consolas" w:hAnsi="Consolas"/>
          <w:color w:val="9A7A38"/>
          <w:sz w:val="18"/>
        </w:rPr>
        <w:t xml:space="preserve">[5]  </w:t>
      </w:r>
      <w:r>
        <w:rPr>
          <w:rFonts w:ascii="Georgia" w:hAnsi="Georgia"/>
          <w:color w:val="2A2927"/>
          <w:sz w:val="22"/>
        </w:rPr>
        <w:t>1 wir freuen uns, Sie über einige bedeutende Bau- und Renovierungsarbeiten zu informieren, die in diesem Sommer im Schrein des Báb und in seiner Umgebung durchgeführt werden. Die Schreine des Báb und ‘Abdu’l-Bahás sind jetzt geschlossen und werden am 28. Oktober wieder geöffnet. In dieser Zeit wird der Terrakotta-Hauptweg zum Schrein des Báb gepflastert, um ihn für Pilger und Besucher, für die der Fußweg vom Pilgerhaus in Haifa zum Schrein eine physische Herausforderung darstellt, besser zugänglich zu machen. Die Zugangswege zum Schrein, sowohl von Osten als auch von Westen, werden mit rotem Jerusalem-Kalkstein gepflastert, der auch für die Pflasterung des derzeitigen Zugangsweges verwendet wurde. Außerdem wird der Vorplatz unmittelbar vor dem Schrein des Báb mit Steinen gepflastert, wie es im ursprünglichen Entwurf der Hand der Sache Gottes William Sutherland Maxwell vorgesehen war; es wird derselbe Galil-Gold-Kalkstein verwendet, der für den Boden der Kolonnaden des Schreins und für die Terrassen gewählt wurde. Auch die Gestaltung der umliegenden Gärten wird entsprechend angepasst werden.</w:t>
      </w:r>
    </w:p>
    <w:p>
      <w:pPr>
        <w:spacing w:after="140" w:line="288" w:lineRule="auto"/>
      </w:pPr>
      <w:r>
        <w:rPr>
          <w:rFonts w:ascii="Consolas" w:hAnsi="Consolas"/>
          <w:color w:val="9A7A38"/>
          <w:sz w:val="18"/>
        </w:rPr>
        <w:t xml:space="preserve">[6]  </w:t>
      </w:r>
      <w:r>
        <w:rPr>
          <w:rFonts w:ascii="Georgia" w:hAnsi="Georgia"/>
          <w:color w:val="2A2927"/>
          <w:sz w:val="22"/>
        </w:rPr>
        <w:t>2 Währenddessen werden bei dieser Gelegenheit im Inneren des Schreins einige vorbereitende Arbeiten durchgeführt, damit zu gegebener Zeit alle Räume als Teil des einzig dem Báb dienenden Schreins dem Gebet und der Andacht gewidmet werden können. Bei diesen Arbeiten werden neue Türöffnungen in den Innenwänden geschaffen. Wir bitten Sie, diese Information mit den Mitgliedern Ihrer Gemeinde zu teilen.</w:t>
      </w:r>
    </w:p>
    <w:p>
      <w:pPr>
        <w:spacing w:after="140" w:line="288" w:lineRule="auto"/>
      </w:pPr>
      <w:r>
        <w:rPr>
          <w:rFonts w:ascii="Consolas" w:hAnsi="Consolas"/>
          <w:color w:val="9A7A38"/>
          <w:sz w:val="18"/>
        </w:rPr>
        <w:t xml:space="preserve">[7]  </w:t>
      </w:r>
      <w:r>
        <w:rPr>
          <w:rFonts w:ascii="Georgia" w:hAnsi="Georgia"/>
          <w:color w:val="2A2927"/>
          <w:sz w:val="22"/>
        </w:rPr>
        <w:t>2_5 [gezeichnet: Das Universale Haus der Gerechtigkeit]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