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D1B69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14F03282"/>
    <w:p w14:paraId="1F9BEB5F"/>
    <w:p w14:paraId="25EF9A8B">
      <w:pPr>
        <w:jc w:val="right"/>
      </w:pPr>
      <w:r>
        <w:rPr>
          <w:b/>
          <w:bCs/>
        </w:rPr>
        <w:t>УТВЕРЖДАЮ</w:t>
      </w:r>
    </w:p>
    <w:p w14:paraId="26BC5BFD">
      <w:pPr>
        <w:jc w:val="right"/>
      </w:pPr>
      <w:r>
        <w:t>Ректор-Председатель правления</w:t>
      </w:r>
    </w:p>
    <w:p w14:paraId="6050F645">
      <w:pPr>
        <w:jc w:val="right"/>
      </w:pPr>
      <w:r>
        <w:t>_________________ ______________</w:t>
      </w:r>
    </w:p>
    <w:p w14:paraId="04E458D8">
      <w:pPr>
        <w:jc w:val="right"/>
      </w:pPr>
      <w:r>
        <w:t>«______»_______________ 20____ г.</w:t>
      </w:r>
    </w:p>
    <w:p w14:paraId="5B1721D0"/>
    <w:p w14:paraId="66F63FB5"/>
    <w:p w14:paraId="174ABB44"/>
    <w:p w14:paraId="4E32FF96"/>
    <w:p w14:paraId="1D78491D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7BA27C20"/>
    <w:p w14:paraId="2E8F2215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0C4E6112"/>
    <w:p w14:paraId="6A1E2930">
      <w:r>
        <w:br w:type="page"/>
      </w:r>
    </w:p>
    <w:p w14:paraId="2908758D">
      <w:pPr>
        <w:pStyle w:val="2"/>
      </w:pPr>
      <w:r>
        <w:t>Содержание</w:t>
      </w:r>
    </w:p>
    <w:sdt>
      <w:sdtPr>
        <w:alias w:val="Содержание"/>
        <w:id w:val="147456097"/>
      </w:sdtPr>
      <w:sdtContent>
        <w:p w14:paraId="342E742E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3E07766F">
          <w:r>
            <w:fldChar w:fldCharType="end"/>
          </w:r>
        </w:p>
      </w:sdtContent>
    </w:sdt>
    <w:p w14:paraId="2631AB5A">
      <w:r>
        <w:br w:type="page"/>
      </w:r>
    </w:p>
    <w:p w14:paraId="57E49A1C">
      <w:pPr>
        <w:pStyle w:val="2"/>
      </w:pPr>
      <w:r>
        <w:t>Требования к модулю фронтенда «Аналитика»</w:t>
      </w:r>
    </w:p>
    <w:p w14:paraId="75B074C5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4E9A0F7D">
      <w:r>
        <w:rPr>
          <w:i/>
          <w:iCs/>
          <w:color w:val="595959"/>
        </w:rPr>
        <w:t>Модуль фронтенда: Аналитика (`/analytics`)</w:t>
      </w:r>
    </w:p>
    <w:p w14:paraId="78DC00FF">
      <w:pPr>
        <w:pStyle w:val="3"/>
      </w:pPr>
      <w:r>
        <w:t>1. Назначение и цель модуля</w:t>
      </w:r>
    </w:p>
    <w:p w14:paraId="66A6C1DA">
      <w:pPr>
        <w:pStyle w:val="4"/>
      </w:pPr>
      <w:r>
        <w:t>1.1. Назначение</w:t>
      </w:r>
    </w:p>
    <w:p w14:paraId="7A335E05">
      <w:r>
        <w:t>Модуль «Аналитика» предназначен для мониторинга полноты выставления оценок преподавателями в системе Moodle: доля фактически выставленных оценок от ожидаемого количества (по студентам и элементам оценивания курса), в разрезе по всем образовательным программам, по конкретной образовательной программе (с детализацией по курсам/дисциплинам) и по конкретной группе/дисциплине.</w:t>
      </w:r>
    </w:p>
    <w:p w14:paraId="565B2972">
      <w:pPr>
        <w:pStyle w:val="4"/>
      </w:pPr>
      <w:r>
        <w:t>1.2. Цели</w:t>
      </w:r>
    </w:p>
    <w:p w14:paraId="2D9BD6C8">
      <w:pPr>
        <w:pStyle w:val="16"/>
        <w:numPr>
          <w:ilvl w:val="0"/>
          <w:numId w:val="1"/>
        </w:numPr>
      </w:pPr>
      <w:r>
        <w:t>Оперативный контроль того, насколько активно преподаватели вносят оценки в Moodle, на уровне университета в целом.</w:t>
      </w:r>
    </w:p>
    <w:p w14:paraId="56065024">
      <w:pPr>
        <w:pStyle w:val="16"/>
        <w:numPr>
          <w:ilvl w:val="0"/>
          <w:numId w:val="1"/>
        </w:numPr>
      </w:pPr>
      <w:r>
        <w:t>Возможность провалиться в детали по конкретной образовательной программе или конкретной группе и дисциплине.</w:t>
      </w:r>
    </w:p>
    <w:p w14:paraId="4D916749">
      <w:pPr>
        <w:pStyle w:val="16"/>
        <w:numPr>
          <w:ilvl w:val="0"/>
          <w:numId w:val="1"/>
        </w:numPr>
      </w:pPr>
      <w:r>
        <w:t>Визуальное представление данных (графики) для быстрой оценки проблемных зон.</w:t>
      </w:r>
    </w:p>
    <w:p w14:paraId="4143027B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82"/>
        <w:gridCol w:w="4464"/>
      </w:tblGrid>
      <w:tr w14:paraId="2EF71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640F56E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DE06EF2">
            <w:r>
              <w:rPr>
                <w:b/>
                <w:bCs/>
              </w:rPr>
              <w:t>Доступные действия</w:t>
            </w:r>
          </w:p>
        </w:tc>
      </w:tr>
      <w:tr w14:paraId="5E3C5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9826D08">
            <w:r>
              <w:t>Просмотр аналитики (`VIEW_ANALYTICS`)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12DE6C9">
            <w:r>
              <w:t>Просмотр всех трёх вкладок модуля</w:t>
            </w:r>
          </w:p>
        </w:tc>
      </w:tr>
    </w:tbl>
    <w:p w14:paraId="24F36EED"/>
    <w:p w14:paraId="637FBF1A">
      <w:pPr>
        <w:pStyle w:val="3"/>
      </w:pPr>
      <w:r>
        <w:t>3. Функциональные требования</w:t>
      </w:r>
    </w:p>
    <w:p w14:paraId="6465992A">
      <w:r>
        <w:t xml:space="preserve">Модуль состоит из трёх вкладок: </w:t>
      </w:r>
      <w:r>
        <w:rPr>
          <w:b/>
          <w:bCs/>
        </w:rPr>
        <w:t>Общая статистика</w:t>
      </w:r>
      <w:r>
        <w:t xml:space="preserve">, </w:t>
      </w:r>
      <w:r>
        <w:rPr>
          <w:b/>
          <w:bCs/>
        </w:rPr>
        <w:t>По образовательной программе</w:t>
      </w:r>
      <w:r>
        <w:t xml:space="preserve">, </w:t>
      </w:r>
      <w:r>
        <w:rPr>
          <w:b/>
          <w:bCs/>
        </w:rPr>
        <w:t>По курсу (группе и дисциплине)</w:t>
      </w:r>
      <w:r>
        <w:t>.</w:t>
      </w:r>
    </w:p>
    <w:p w14:paraId="3718C9E1">
      <w:pPr>
        <w:pStyle w:val="4"/>
      </w:pPr>
      <w:r>
        <w:t>3.1. Вкладка «Общая статистика»</w:t>
      </w:r>
    </w:p>
    <w:p w14:paraId="3AC1542B">
      <w:r>
        <w:t>Фильтры: учебный год (выпадающий список), уровень обучения (выпадающий список — Бакалавриат/Магистратура и т.д.), семестр (выпадающий список). Кнопка «Показать» запускает загрузку данных (при уровне «Бакалавриат» отображается предупреждение о более долгой загрузке).</w:t>
      </w:r>
    </w:p>
    <w:p w14:paraId="4237A142">
      <w:r>
        <w:t>При наличии данных отображаются:</w:t>
      </w:r>
    </w:p>
    <w:p w14:paraId="6088DBD7">
      <w:pPr>
        <w:pStyle w:val="16"/>
        <w:numPr>
          <w:ilvl w:val="0"/>
          <w:numId w:val="1"/>
        </w:numPr>
      </w:pPr>
      <w:r>
        <w:t>4 карточки сводных показателей: количество образовательных программ, количество студентов, средний процент заполненности оценок, количество программ с хотя бы одной выставленной оценкой (из общего числа);</w:t>
      </w:r>
    </w:p>
    <w:p w14:paraId="464479B5">
      <w:pPr>
        <w:pStyle w:val="16"/>
        <w:numPr>
          <w:ilvl w:val="0"/>
          <w:numId w:val="1"/>
        </w:numPr>
      </w:pPr>
      <w:r>
        <w:t>столбчатая диаграмма — процент заполненности оценок по топ-15 образовательным программам (с сортировкой по убыванию);</w:t>
      </w:r>
    </w:p>
    <w:p w14:paraId="71D98E0F">
      <w:pPr>
        <w:pStyle w:val="16"/>
        <w:numPr>
          <w:ilvl w:val="0"/>
          <w:numId w:val="1"/>
        </w:numPr>
      </w:pPr>
      <w:r>
        <w:t>круговая диаграмма (donut) — распределение студентов по топ-8 образовательным программам (остальные объединены в категорию «Прочие»);</w:t>
      </w:r>
    </w:p>
    <w:p w14:paraId="2C757794">
      <w:pPr>
        <w:pStyle w:val="16"/>
        <w:numPr>
          <w:ilvl w:val="0"/>
          <w:numId w:val="1"/>
        </w:numPr>
      </w:pPr>
      <w:r>
        <w:t>горизontальная столбчатая диаграмма — сравнение количества выставленных и ожидаемых оценок по топ-10 программам;</w:t>
      </w:r>
    </w:p>
    <w:p w14:paraId="35B0DFE6">
      <w:pPr>
        <w:pStyle w:val="16"/>
        <w:numPr>
          <w:ilvl w:val="0"/>
          <w:numId w:val="1"/>
        </w:numPr>
      </w:pPr>
      <w:r>
        <w:t>таблица по всем образовательным программам: название, количество студентов, количество элементов оценивания, ожидаемое количество оценок, выставленное количество оценок, процент выполнения (текстовое значение + индикатор-полоска, цвет зависит от процента).</w:t>
      </w:r>
    </w:p>
    <w:p w14:paraId="59E34FF6">
      <w:r>
        <w:t>Если по выбранным фильтрам данных нет — информационная заглушка.</w:t>
      </w:r>
    </w:p>
    <w:p w14:paraId="6A1AB20D">
      <w:pPr>
        <w:pStyle w:val="4"/>
      </w:pPr>
      <w:r>
        <w:t>3.2. Вкладка «По образовательной программе»</w:t>
      </w:r>
    </w:p>
    <w:p w14:paraId="0379C081">
      <w:r>
        <w:t>Фильтр: поиск и выбор образовательной программы (комбобокс с поиском по коду/названию/году поступления/языку). Кнопка «Показать».</w:t>
      </w:r>
    </w:p>
    <w:p w14:paraId="086A9328">
      <w:r>
        <w:t>При наличии данных отображаются:</w:t>
      </w:r>
    </w:p>
    <w:p w14:paraId="4DD0D11B">
      <w:pPr>
        <w:pStyle w:val="16"/>
        <w:numPr>
          <w:ilvl w:val="0"/>
          <w:numId w:val="1"/>
        </w:numPr>
      </w:pPr>
      <w:r>
        <w:t>идентификатор образовательной программы;</w:t>
      </w:r>
    </w:p>
    <w:p w14:paraId="049AC0D3">
      <w:pPr>
        <w:pStyle w:val="16"/>
        <w:numPr>
          <w:ilvl w:val="0"/>
          <w:numId w:val="1"/>
        </w:numPr>
      </w:pPr>
      <w:r>
        <w:t>столбчатая диаграмма — процент заполненности по топ-12 дисциплинам программы;</w:t>
      </w:r>
    </w:p>
    <w:p w14:paraId="62AFE9BF">
      <w:pPr>
        <w:pStyle w:val="16"/>
        <w:numPr>
          <w:ilvl w:val="0"/>
          <w:numId w:val="1"/>
        </w:numPr>
      </w:pPr>
      <w:r>
        <w:t>круговая (polar area) диаграмма — распределение студентов по подкатегориям (модулям) программы с указанием среднего процента заполненности каждой подкатегории при наведении;</w:t>
      </w:r>
    </w:p>
    <w:p w14:paraId="1FD361DC">
      <w:pPr>
        <w:pStyle w:val="16"/>
        <w:numPr>
          <w:ilvl w:val="0"/>
          <w:numId w:val="1"/>
        </w:numPr>
      </w:pPr>
      <w:r>
        <w:t>по каждой подкатегории — отдельная таблица дисциплин: название, количество студентов, количество элементов оценивания, ожидаемое/выставленное количество оценок, процент выполнения (аналогично 3.1).</w:t>
      </w:r>
    </w:p>
    <w:p w14:paraId="6E100F1D">
      <w:pPr>
        <w:pStyle w:val="4"/>
      </w:pPr>
      <w:r>
        <w:t>3.3. Вкладка «По курсу (группе и дисциплине)»</w:t>
      </w:r>
    </w:p>
    <w:p w14:paraId="4C498324">
      <w:r>
        <w:t>Фильтры: учебный год, уровень обучения, семестр, язык обучения (RU/KZ/EN) — выпадающие списки; группа — комбобокс с поиском по названию; дисциплина — комбобокс с поиском по коду/названию. Кнопка «Показать» активна только когда заполнены все параметры.</w:t>
      </w:r>
    </w:p>
    <w:p w14:paraId="3248483A">
      <w:r>
        <w:t>При наличии данных — карточка курса: полное название курса (в Moodle), ID курса (с кнопкой копирования в буфер обмена), количество студентов, количество элементов оценивания, соотношение выставленных/ожидаемых оценок, процент выполнения (число + индикатор-полоска, отдельно на всю ширину карточки).</w:t>
      </w:r>
    </w:p>
    <w:p w14:paraId="44572E0C">
      <w:pPr>
        <w:pStyle w:val="4"/>
      </w:pPr>
      <w:r>
        <w:t>3.4. Интеграция с другими модулями</w:t>
      </w:r>
    </w:p>
    <w:p w14:paraId="1A53CA8F">
      <w:pPr>
        <w:pStyle w:val="16"/>
        <w:numPr>
          <w:ilvl w:val="0"/>
          <w:numId w:val="1"/>
        </w:numPr>
      </w:pPr>
      <w:r>
        <w:t>Источник данных — синхронизация с Moodle (см. модуль «Админ-панель», раздел «Синхронизация с Moodle»): аналитика отражает результат этой синхронизации, но не управляет ею.</w:t>
      </w:r>
    </w:p>
    <w:p w14:paraId="033A1B73">
      <w:pPr>
        <w:pStyle w:val="16"/>
        <w:numPr>
          <w:ilvl w:val="0"/>
          <w:numId w:val="1"/>
        </w:numPr>
      </w:pPr>
      <w:r>
        <w:t>Справочники «Уровни обучения», «Учебные годы», «Семестры» — общие с модулем «Справочники».</w:t>
      </w:r>
    </w:p>
    <w:p w14:paraId="348936D1">
      <w:pPr>
        <w:pStyle w:val="16"/>
        <w:numPr>
          <w:ilvl w:val="0"/>
          <w:numId w:val="1"/>
        </w:numPr>
      </w:pPr>
      <w:r>
        <w:t>Поиск образовательных программ, групп и дисциплин использует те же источники данных, что и модуль «Каталог образовательных программ».</w:t>
      </w:r>
    </w:p>
    <w:p w14:paraId="09165118">
      <w:pPr>
        <w:pStyle w:val="3"/>
      </w:pPr>
      <w:r>
        <w:t>4. Нефункциональные требования</w:t>
      </w:r>
    </w:p>
    <w:p w14:paraId="33CA36E5">
      <w:pPr>
        <w:pStyle w:val="16"/>
        <w:numPr>
          <w:ilvl w:val="0"/>
          <w:numId w:val="1"/>
        </w:numPr>
      </w:pPr>
      <w:r>
        <w:t>Поиск по образовательной программе/группе/дисциплине — с debounce (~500 мс), минимум 2 символа для начала поиска.</w:t>
      </w:r>
    </w:p>
    <w:p w14:paraId="6C509DF0">
      <w:pPr>
        <w:pStyle w:val="16"/>
        <w:numPr>
          <w:ilvl w:val="0"/>
          <w:numId w:val="1"/>
        </w:numPr>
      </w:pPr>
      <w:r>
        <w:t>Диаграммы должны адаптироваться к текущей теме оформления (светлая/тёмная) — цвета текста, сетки и фона подсказок пересчитываются в зависимости от активной темы.</w:t>
      </w:r>
    </w:p>
    <w:p w14:paraId="3A89D2B5">
      <w:pPr>
        <w:pStyle w:val="16"/>
        <w:numPr>
          <w:ilvl w:val="0"/>
          <w:numId w:val="1"/>
        </w:numPr>
      </w:pPr>
      <w:r>
        <w:t>Названия программ/курсов усечены с многоточием в подписях диаграмм (не более 20–30 символов) во избежание перегрузки графика текстом; полное название доступно во всплывающей подсказке.</w:t>
      </w:r>
    </w:p>
    <w:p w14:paraId="515DE906">
      <w:pPr>
        <w:pStyle w:val="16"/>
        <w:numPr>
          <w:numId w:val="0"/>
        </w:num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82EE44"/>
    <w:multiLevelType w:val="multilevel"/>
    <w:tmpl w:val="6882EE44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94C42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477D76A7-29C7-45F3-9934-FE5B9F62A392}"/>
</file>

<file path=customXml/itemProps2.xml><?xml version="1.0" encoding="utf-8"?>
<ds:datastoreItem xmlns:ds="http://schemas.openxmlformats.org/officeDocument/2006/customXml" ds:itemID="{040ADA62-C0AC-49E1-B87E-9FE74C00162E}"/>
</file>

<file path=customXml/itemProps3.xml><?xml version="1.0" encoding="utf-8"?>
<ds:datastoreItem xmlns:ds="http://schemas.openxmlformats.org/officeDocument/2006/customXml" ds:itemID="{2D43257C-0FF7-489F-93BE-60CB0FAF6D27}"/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630</Words>
  <Characters>4692</Characters>
  <TotalTime>0</TotalTime>
  <ScaleCrop>false</ScaleCrop>
  <LinksUpToDate>false</LinksUpToDate>
  <CharactersWithSpaces>5267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ACA09CE88ADE4684A13A37165EEA8E13_12</vt:lpwstr>
  </property>
  <property fmtid="{D5CDD505-2E9C-101B-9397-08002B2CF9AE}" pid="5" name="ContentTypeId">
    <vt:lpwstr>0x01010059A358966880B64394BA98E103C2C0E4</vt:lpwstr>
  </property>
</Properties>
</file>