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 1 PAM Platform work plan</w:t>
      </w:r>
    </w:p>
    <w:p>
      <w:pPr>
        <w:spacing w:after="160"/>
      </w:pPr>
      <w:r>
        <w:rPr>
          <w:b/>
        </w:rPr>
        <w:t>Backend development and security architecture</w:t>
      </w:r>
    </w:p>
    <w:p>
      <w:r>
        <w:t>Member 1 owns the backend services that authenticate users, authorize privileged access, protect credentials, broker SSH and PostgreSQL sessions, record audit events, and run the test infrastructure. For the 24 October checkpoint, the architecture and technology decisions are due; the supplied Go audit, vault and policy packages are early modules, not a running PAM platform.</w:t>
      </w:r>
    </w:p>
    <w:p>
      <w:pPr>
        <w:pStyle w:val="Heading1"/>
      </w:pPr>
      <w:r>
        <w:t>Ownership and interfaces</w:t>
      </w:r>
    </w:p>
    <w:p>
      <w:r>
        <w:t>Primary paths: docs/05-technology-comparison.md, docs/07-architecture.md, docs/adr/, diagrams/, api/openapi.yaml, .github/workflows/, src/ and future tests/performance/. Member 1 owns the backend API contract, database, vault, policy, identity service, gateways, audit, CI and backend performance evidence. Member 2 reviews API behavior and builds the browser interface against the agreed OpenAPI contract.</w:t>
      </w:r>
    </w:p>
    <w:p>
      <w:pPr>
        <w:pStyle w:val="Heading1"/>
      </w:pPr>
      <w:r>
        <w:t>24 October checkpoint</w:t>
      </w:r>
    </w:p>
    <w:p>
      <w:r>
        <w:t>The supplied files are starting materials. Each listed acceptance check still needs real review and evidence before it can be marked complete.</w:t>
      </w:r>
    </w:p>
    <w:tbl>
      <w:tblPr>
        <w:tblW w:type="auto" w:w="0"/>
        <w:tblLayout w:type="fixed"/>
        <w:tblLook w:firstColumn="1" w:firstRow="1" w:lastColumn="0" w:lastRow="0" w:noHBand="0" w:noVBand="1" w:val="04A0"/>
      </w:tblPr>
      <w:tblGrid>
        <w:gridCol w:w="907"/>
        <w:gridCol w:w="3341"/>
        <w:gridCol w:w="5602"/>
      </w:tblGrid>
      <w:tr>
        <w:trPr>
          <w:tblHeader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Task</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Deliverable</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Acceptance check</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DIP-7</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Technology comparison and ADRs</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≥3 decisions × 2-3 alternatives; ADR-001..005</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DIP-9</w:t>
            </w:r>
          </w:p>
        </w:tc>
        <w:tc>
          <w:tcPr>
            <w:tcW w:type="dxa" w:w="3341"/>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System context, use case and component diagrams</w:t>
            </w:r>
          </w:p>
        </w:tc>
        <w:tc>
          <w:tcPr>
            <w:tcW w:type="dxa" w:w="5602"/>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DOT sources + SVG/PNG exports consistent with requirements; OpenAPI draft defines UI/backend contract</w:t>
            </w:r>
          </w:p>
        </w:tc>
      </w:tr>
    </w:tbl>
    <w:p>
      <w:pPr>
        <w:spacing w:after="0"/>
      </w:pPr>
    </w:p>
    <w:p>
      <w:pPr>
        <w:pStyle w:val="Heading1"/>
      </w:pPr>
      <w:r>
        <w:t>Later milestones</w:t>
      </w:r>
    </w:p>
    <w:p>
      <w:r>
        <w:t>Proposed dates: M2 21 November 2026, M3 19 December 2026, M4 13 February 2027, M5 13 March 2027 and M6 10 April 2027. Confirm them with the academic calendar and supervisor.</w:t>
      </w:r>
    </w:p>
    <w:tbl>
      <w:tblPr>
        <w:tblW w:type="auto" w:w="0"/>
        <w:tblLayout w:type="fixed"/>
        <w:tblLook w:firstColumn="1" w:firstRow="1" w:lastColumn="0" w:lastRow="0" w:noHBand="0" w:noVBand="1" w:val="04A0"/>
      </w:tblPr>
      <w:tblGrid>
        <w:gridCol w:w="907"/>
        <w:gridCol w:w="1109"/>
        <w:gridCol w:w="7834"/>
      </w:tblGrid>
      <w:tr>
        <w:trPr>
          <w:tblHeader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Task</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Target</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1F344A"/>
            <w:vAlign w:val="center"/>
          </w:tcPr>
          <w:p>
            <w:pPr>
              <w:spacing w:after="0" w:line="252" w:lineRule="auto"/>
            </w:pPr>
            <w:r>
              <w:rPr>
                <w:b/>
                <w:color w:val="FFFFFF"/>
                <w:sz w:val="17"/>
              </w:rPr>
              <w:t>Deliverable and acceptance</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DIP-14</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M2</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Spike: Go SSH proxy proof of concept. PoC proxies interactive shell to test sshd</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DIP-15</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M2</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Vault envelope encryption module. Unit tests: round trip, AAD binding, tamper, KEK rewrap; coverage ≥70%</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DIP-16</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M2</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Hash-chained audit module and verifier CLI. Tests detect modify/delete/reorder; CLI verifies export</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DIP-17</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M2</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Policy decision module (grant, MFA age, time window). Table-driven tests for allow/deny cases</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DIP-18</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M2</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Database schema and migrations. Migrations apply on clean PG16; ER diagram added</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DIP-19</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M2</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Server-side OIDC login + TOTP step-up. T-U1 and T-U2 pass against Keycloak; browser login contract documented</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DIP-20</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M2</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CI pipeline (tests, vet, gitleaks, gosec, Trivy). CI green on main; fails on seeded secret</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DIP-21</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M2</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Threat model (STRIDE) of the platform. High threats and mitigations documented; real supervisor review recorded</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DIP-23</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M3</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SSH gateway with credential injection + recording. T-G1 and T-M1 pass; authorized live-event stream and session termination API documented for UI handoff</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DIP-24</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M3</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JIT request/approval workflow API. T-A2, T-A3, T-A5 pass</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DIP-25</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M4</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Rotation worker for Linux and PostgreSQL. T-V2, T-V3 pass</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DIP-26</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M4</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shd w:fill="F3F6F8"/>
            <w:vAlign w:val="center"/>
          </w:tcPr>
          <w:p>
            <w:pPr>
              <w:spacing w:after="0" w:line="252" w:lineRule="auto"/>
            </w:pPr>
            <w:r>
              <w:rPr>
                <w:sz w:val="17"/>
              </w:rPr>
              <w:t>PostgreSQL gateway. T-G2, T-M4 pass</w:t>
            </w:r>
          </w:p>
        </w:tc>
      </w:tr>
      <w:tr>
        <w:trPr>
          <w:cantSplit w:val="true"/>
        </w:trPr>
        <w:tc>
          <w:tcPr>
            <w:tcW w:type="dxa" w:w="907"/>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DIP-28</w:t>
            </w:r>
          </w:p>
        </w:tc>
        <w:tc>
          <w:tcPr>
            <w:tcW w:type="dxa" w:w="1109"/>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M4</w:t>
            </w:r>
          </w:p>
        </w:tc>
        <w:tc>
          <w:tcPr>
            <w:tcW w:type="dxa" w:w="7834"/>
            <w:tcBorders>
              <w:top w:val="single" w:sz="4" w:color="D9D9D9"/>
              <w:left w:val="single" w:sz="4" w:color="D9D9D9"/>
              <w:bottom w:val="single" w:sz="4" w:color="D9D9D9"/>
              <w:right w:val="single" w:sz="4" w:color="D9D9D9"/>
            </w:tcBorders>
            <w:tcMar>
              <w:top w:w="90" w:type="dxa"/>
              <w:start w:w="90" w:type="dxa"/>
              <w:bottom w:w="90" w:type="dxa"/>
              <w:end w:w="90" w:type="dxa"/>
            </w:tcMar>
            <w:vAlign w:val="center"/>
          </w:tcPr>
          <w:p>
            <w:pPr>
              <w:spacing w:after="0" w:line="252" w:lineRule="auto"/>
            </w:pPr>
            <w:r>
              <w:rPr>
                <w:sz w:val="17"/>
              </w:rPr>
              <w:t>Performance test bench and measurements. M8, M9 measured and reported</w:t>
            </w:r>
          </w:p>
        </w:tc>
      </w:tr>
    </w:tbl>
    <w:p>
      <w:pPr>
        <w:spacing w:after="0"/>
      </w:pPr>
    </w:p>
    <w:p>
      <w:pPr>
        <w:pStyle w:val="Heading1"/>
      </w:pPr>
      <w:r>
        <w:t>Handoffs and joint work</w:t>
      </w:r>
    </w:p>
    <w:p>
      <w:pPr>
        <w:pStyle w:val="ListBullet"/>
        <w:spacing w:after="60"/>
      </w:pPr>
      <w:r>
        <w:t>Provide documented request/approval, session stream and termination endpoints to Member 2; agree on payloads and errors before UI integration.</w:t>
      </w:r>
    </w:p>
    <w:p>
      <w:pPr>
        <w:pStyle w:val="ListBullet"/>
        <w:spacing w:after="60"/>
      </w:pPr>
      <w:r>
        <w:t>Implement server-side OIDC and TOTP checks while Member 2 builds the browser login and session screens. Review frontend requirements for security and performance impact.</w:t>
      </w:r>
    </w:p>
    <w:p>
      <w:pPr>
        <w:pStyle w:val="ListBullet"/>
        <w:spacing w:after="60"/>
      </w:pPr>
      <w:r>
        <w:t>Supply real security, integration and performance results for Member 2’s verification and final evaluation reports; join the end-to-end demonstration and review their UI work.</w:t>
      </w:r>
    </w:p>
    <w:p>
      <w:pPr>
        <w:pStyle w:val="Heading1"/>
      </w:pPr>
      <w:r>
        <w:t>Evidence and first actions</w:t>
      </w:r>
    </w:p>
    <w:p>
      <w:r>
        <w:t>Each student should commit only work they personally perform, link it to the actual YouTrack issue, and obtain the other student’s review before merge. The supplied folder has no Git history or live YouTrack link, so assignment does not prove past authorship.</w:t>
      </w:r>
    </w:p>
    <w:p>
      <w:pPr>
        <w:pStyle w:val="ListBullet"/>
        <w:spacing w:after="60"/>
      </w:pPr>
      <w:r>
        <w:t>Review the technology comparison, architecture diagrams and editable sources for consistency with the requirements.</w:t>
      </w:r>
    </w:p>
    <w:p>
      <w:pPr>
        <w:pStyle w:val="ListBullet"/>
        <w:spacing w:after="60"/>
      </w:pPr>
      <w:r>
        <w:t>Continue the vault, policy and audit modules with tests; keep the gateway, database and JIT workflow marked as planned until they run.</w:t>
      </w:r>
    </w:p>
    <w:p>
      <w:pPr>
        <w:pStyle w:val="ListBullet"/>
        <w:spacing w:after="60"/>
      </w:pPr>
      <w:r>
        <w:t>After a real repository and YouTrack project exist, commit backend work under your own identity and request Member 2’s review.</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E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1 PAM Platform work plan</dc:title>
  <dc:subject>Backend development and security architecture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