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F0B1" w14:textId="77777777" w:rsidR="00AD0DA0" w:rsidRDefault="00000000">
      <w:pPr>
        <w:spacing w:after="60"/>
      </w:pPr>
      <w:r>
        <w:rPr>
          <w:b/>
          <w:bCs/>
          <w:color w:val="1F3550"/>
          <w:sz w:val="34"/>
          <w:szCs w:val="34"/>
        </w:rPr>
        <w:t>Testbench Anatomy</w:t>
      </w:r>
    </w:p>
    <w:p w14:paraId="14F27911" w14:textId="77777777" w:rsidR="00AD0DA0" w:rsidRDefault="00000000">
      <w:pPr>
        <w:spacing w:after="100"/>
      </w:pPr>
      <w:r>
        <w:rPr>
          <w:color w:val="44546A"/>
          <w:sz w:val="26"/>
          <w:szCs w:val="26"/>
        </w:rPr>
        <w:t>Block Diagram</w:t>
      </w:r>
    </w:p>
    <w:p w14:paraId="351B2E95" w14:textId="77777777" w:rsidR="00AD0DA0" w:rsidRDefault="00000000">
      <w:pPr>
        <w:pBdr>
          <w:bottom w:val="single" w:sz="8" w:space="6" w:color="9FB3C8"/>
        </w:pBdr>
        <w:spacing w:after="260"/>
      </w:pPr>
      <w:r>
        <w:rPr>
          <w:i/>
          <w:iCs/>
          <w:color w:val="595959"/>
          <w:sz w:val="20"/>
          <w:szCs w:val="20"/>
        </w:rPr>
        <w:t>Day 3 Experimental Work — Item 2: “Draw the anatomy of a testbench — a block diagram with DUT in the centre and all testbench components around it, with arrows showing data/signal flow.”</w:t>
      </w:r>
    </w:p>
    <w:p w14:paraId="778F56A1" w14:textId="0FE656EE" w:rsidR="00AD0DA0" w:rsidRDefault="00000000" w:rsidP="001B7AF5">
      <w:pPr>
        <w:spacing w:before="60" w:after="120"/>
        <w:rPr>
          <w:b/>
          <w:bCs/>
          <w:color w:val="44546A"/>
          <w:sz w:val="19"/>
          <w:szCs w:val="19"/>
        </w:rPr>
      </w:pPr>
      <w:r>
        <w:rPr>
          <w:b/>
          <w:bCs/>
          <w:color w:val="44546A"/>
          <w:sz w:val="19"/>
          <w:szCs w:val="19"/>
        </w:rPr>
        <w:t>Figure 1 — Testbench anatomy: DUT wrapped by the testbench components</w:t>
      </w:r>
    </w:p>
    <w:p w14:paraId="5B7DE827" w14:textId="74154777" w:rsidR="001B7AF5" w:rsidRDefault="001B7AF5" w:rsidP="001B7AF5">
      <w:pPr>
        <w:spacing w:before="60" w:after="120"/>
      </w:pPr>
      <w:r w:rsidRPr="001B7AF5">
        <w:drawing>
          <wp:inline distT="0" distB="0" distL="0" distR="0" wp14:anchorId="6F63980A" wp14:editId="3E10A18F">
            <wp:extent cx="5731510" cy="1410335"/>
            <wp:effectExtent l="0" t="0" r="2540" b="0"/>
            <wp:docPr id="31653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7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491C" w14:textId="77777777" w:rsidR="00AD0DA0" w:rsidRDefault="00000000">
      <w:pPr>
        <w:pStyle w:val="Heading1"/>
      </w:pPr>
      <w:r>
        <w:rPr>
          <w:sz w:val="21"/>
          <w:szCs w:val="21"/>
        </w:rPr>
        <w:t>Data / signal flow, explained</w:t>
      </w:r>
    </w:p>
    <w:p w14:paraId="5330A34B" w14:textId="77777777" w:rsidR="00AD0DA0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Stimulus generator → DUT.</w:t>
      </w:r>
      <w:r>
        <w:t xml:space="preserve"> The stimulus generator drives the DUT’s input ports — this is the only component that ever </w:t>
      </w:r>
      <w:r>
        <w:rPr>
          <w:i/>
          <w:iCs/>
        </w:rPr>
        <w:t>writes</w:t>
      </w:r>
      <w:r>
        <w:t xml:space="preserve"> to the DUT.</w:t>
      </w:r>
    </w:p>
    <w:p w14:paraId="0BF55236" w14:textId="77777777" w:rsidR="00AD0DA0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DUT → Monitor.</w:t>
      </w:r>
      <w:r>
        <w:t xml:space="preserve"> The monitor passively watches the DUT’s input and output ports. It never drives anything; it only observes and forwards what it sees.</w:t>
      </w:r>
    </w:p>
    <w:p w14:paraId="5D5F8C8D" w14:textId="77777777" w:rsidR="00AD0DA0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Monitor → Checker / Scoreboard.</w:t>
      </w:r>
      <w:r>
        <w:t xml:space="preserve"> The monitor’s observations are forwarded to the checker, which compares what the DUT actually produced against what a reference/golden model says it </w:t>
      </w:r>
      <w:r>
        <w:rPr>
          <w:i/>
          <w:iCs/>
        </w:rPr>
        <w:t>should</w:t>
      </w:r>
      <w:r>
        <w:t xml:space="preserve"> have produced, and flags any mismatch.</w:t>
      </w:r>
    </w:p>
    <w:p w14:paraId="359FDA22" w14:textId="77777777" w:rsidR="00AD0DA0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Monitor → Coverage Collector.</w:t>
      </w:r>
      <w:r>
        <w:t xml:space="preserve"> The same observations are also forwarded to the coverage collector, which tracks which scenarios (states, values, combinations of signals) have actually been exercised so far in the run.</w:t>
      </w:r>
    </w:p>
    <w:p w14:paraId="50802D2E" w14:textId="1F12BFD8" w:rsidR="00AD0DA0" w:rsidRDefault="00000000">
      <w:pPr>
        <w:pStyle w:val="Heading1"/>
      </w:pPr>
      <w:r>
        <w:rPr>
          <w:sz w:val="21"/>
          <w:szCs w:val="21"/>
        </w:rPr>
        <w:t>Why the DUT sits in the middle</w:t>
      </w:r>
    </w:p>
    <w:p w14:paraId="60522DF4" w14:textId="77777777" w:rsidR="00AD0DA0" w:rsidRDefault="00000000">
      <w:pPr>
        <w:spacing w:after="140" w:line="276" w:lineRule="auto"/>
      </w:pPr>
      <w:r>
        <w:t xml:space="preserve">The DUT is drawn as a plain, neutral block deliberately: none of the surrounding testbench logic (stimulus, monitor, checker, coverage) ever lives </w:t>
      </w:r>
      <w:r>
        <w:rPr>
          <w:i/>
          <w:iCs/>
        </w:rPr>
        <w:t>inside</w:t>
      </w:r>
      <w:r>
        <w:t xml:space="preserve"> the DUT or changes it. All the “intelligence” of verification — driving the right inputs, watching the right outputs, deciding pass/fail, tracking what’s been tested — lives in the testbench code that </w:t>
      </w:r>
      <w:r>
        <w:rPr>
          <w:i/>
          <w:iCs/>
        </w:rPr>
        <w:t>wraps around</w:t>
      </w:r>
      <w:r>
        <w:t xml:space="preserve"> the DUT, never in the DUT itself.</w:t>
      </w:r>
    </w:p>
    <w:p w14:paraId="396C9253" w14:textId="6D68E4B0" w:rsidR="00AD0DA0" w:rsidRDefault="00000000" w:rsidP="001B7AF5">
      <w:pPr>
        <w:spacing w:after="140" w:line="276" w:lineRule="auto"/>
      </w:pPr>
      <w:r>
        <w:t>This is what Learning Topic 3.3 means by “the testbench wraps the DUT,” and it’s also why a DUT can be swapped in/out of different testbenches (or a testbench reused across DUT revisions) without either side needing to know the internal details of the other.</w:t>
      </w:r>
    </w:p>
    <w:sectPr w:rsidR="00AD0DA0"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C74"/>
    <w:multiLevelType w:val="hybridMultilevel"/>
    <w:tmpl w:val="0E72810A"/>
    <w:lvl w:ilvl="0" w:tplc="F88010DA">
      <w:start w:val="1"/>
      <w:numFmt w:val="decimal"/>
      <w:lvlText w:val="%1."/>
      <w:lvlJc w:val="left"/>
      <w:pPr>
        <w:ind w:left="504" w:hanging="360"/>
      </w:pPr>
    </w:lvl>
    <w:lvl w:ilvl="1" w:tplc="B80AC54C">
      <w:numFmt w:val="decimal"/>
      <w:lvlText w:val=""/>
      <w:lvlJc w:val="left"/>
    </w:lvl>
    <w:lvl w:ilvl="2" w:tplc="7D7A4EC6">
      <w:numFmt w:val="decimal"/>
      <w:lvlText w:val=""/>
      <w:lvlJc w:val="left"/>
    </w:lvl>
    <w:lvl w:ilvl="3" w:tplc="8BEA1F02">
      <w:numFmt w:val="decimal"/>
      <w:lvlText w:val=""/>
      <w:lvlJc w:val="left"/>
    </w:lvl>
    <w:lvl w:ilvl="4" w:tplc="E0C6A44C">
      <w:numFmt w:val="decimal"/>
      <w:lvlText w:val=""/>
      <w:lvlJc w:val="left"/>
    </w:lvl>
    <w:lvl w:ilvl="5" w:tplc="762A88BE">
      <w:numFmt w:val="decimal"/>
      <w:lvlText w:val=""/>
      <w:lvlJc w:val="left"/>
    </w:lvl>
    <w:lvl w:ilvl="6" w:tplc="5498E1D0">
      <w:numFmt w:val="decimal"/>
      <w:lvlText w:val=""/>
      <w:lvlJc w:val="left"/>
    </w:lvl>
    <w:lvl w:ilvl="7" w:tplc="700E69B8">
      <w:numFmt w:val="decimal"/>
      <w:lvlText w:val=""/>
      <w:lvlJc w:val="left"/>
    </w:lvl>
    <w:lvl w:ilvl="8" w:tplc="517A2140">
      <w:numFmt w:val="decimal"/>
      <w:lvlText w:val=""/>
      <w:lvlJc w:val="left"/>
    </w:lvl>
  </w:abstractNum>
  <w:abstractNum w:abstractNumId="1" w15:restartNumberingAfterBreak="0">
    <w:nsid w:val="53E84523"/>
    <w:multiLevelType w:val="hybridMultilevel"/>
    <w:tmpl w:val="0D4C6092"/>
    <w:lvl w:ilvl="0" w:tplc="28BC2098">
      <w:start w:val="1"/>
      <w:numFmt w:val="bullet"/>
      <w:lvlText w:val="•"/>
      <w:lvlJc w:val="left"/>
      <w:pPr>
        <w:ind w:left="431" w:hanging="259"/>
      </w:pPr>
    </w:lvl>
    <w:lvl w:ilvl="1" w:tplc="EBFA7E24">
      <w:numFmt w:val="decimal"/>
      <w:lvlText w:val=""/>
      <w:lvlJc w:val="left"/>
    </w:lvl>
    <w:lvl w:ilvl="2" w:tplc="989C16E2">
      <w:numFmt w:val="decimal"/>
      <w:lvlText w:val=""/>
      <w:lvlJc w:val="left"/>
    </w:lvl>
    <w:lvl w:ilvl="3" w:tplc="3CB2EF98">
      <w:numFmt w:val="decimal"/>
      <w:lvlText w:val=""/>
      <w:lvlJc w:val="left"/>
    </w:lvl>
    <w:lvl w:ilvl="4" w:tplc="53F44B24">
      <w:numFmt w:val="decimal"/>
      <w:lvlText w:val=""/>
      <w:lvlJc w:val="left"/>
    </w:lvl>
    <w:lvl w:ilvl="5" w:tplc="378A17E6">
      <w:numFmt w:val="decimal"/>
      <w:lvlText w:val=""/>
      <w:lvlJc w:val="left"/>
    </w:lvl>
    <w:lvl w:ilvl="6" w:tplc="477E20A6">
      <w:numFmt w:val="decimal"/>
      <w:lvlText w:val=""/>
      <w:lvlJc w:val="left"/>
    </w:lvl>
    <w:lvl w:ilvl="7" w:tplc="FCD0672E">
      <w:numFmt w:val="decimal"/>
      <w:lvlText w:val=""/>
      <w:lvlJc w:val="left"/>
    </w:lvl>
    <w:lvl w:ilvl="8" w:tplc="C5D4C8DC">
      <w:numFmt w:val="decimal"/>
      <w:lvlText w:val=""/>
      <w:lvlJc w:val="left"/>
    </w:lvl>
  </w:abstractNum>
  <w:abstractNum w:abstractNumId="2" w15:restartNumberingAfterBreak="0">
    <w:nsid w:val="5DA3791E"/>
    <w:multiLevelType w:val="hybridMultilevel"/>
    <w:tmpl w:val="95B25EF4"/>
    <w:lvl w:ilvl="0" w:tplc="44F0F92E">
      <w:start w:val="1"/>
      <w:numFmt w:val="bullet"/>
      <w:lvlText w:val="●"/>
      <w:lvlJc w:val="left"/>
      <w:pPr>
        <w:ind w:left="720" w:hanging="360"/>
      </w:pPr>
    </w:lvl>
    <w:lvl w:ilvl="1" w:tplc="FE384310">
      <w:start w:val="1"/>
      <w:numFmt w:val="bullet"/>
      <w:lvlText w:val="○"/>
      <w:lvlJc w:val="left"/>
      <w:pPr>
        <w:ind w:left="1440" w:hanging="360"/>
      </w:pPr>
    </w:lvl>
    <w:lvl w:ilvl="2" w:tplc="198C6CB6">
      <w:start w:val="1"/>
      <w:numFmt w:val="bullet"/>
      <w:lvlText w:val="■"/>
      <w:lvlJc w:val="left"/>
      <w:pPr>
        <w:ind w:left="2160" w:hanging="360"/>
      </w:pPr>
    </w:lvl>
    <w:lvl w:ilvl="3" w:tplc="13D6679E">
      <w:start w:val="1"/>
      <w:numFmt w:val="bullet"/>
      <w:lvlText w:val="●"/>
      <w:lvlJc w:val="left"/>
      <w:pPr>
        <w:ind w:left="2880" w:hanging="360"/>
      </w:pPr>
    </w:lvl>
    <w:lvl w:ilvl="4" w:tplc="8ED4EFAE">
      <w:start w:val="1"/>
      <w:numFmt w:val="bullet"/>
      <w:lvlText w:val="○"/>
      <w:lvlJc w:val="left"/>
      <w:pPr>
        <w:ind w:left="3600" w:hanging="360"/>
      </w:pPr>
    </w:lvl>
    <w:lvl w:ilvl="5" w:tplc="9A228A1C">
      <w:start w:val="1"/>
      <w:numFmt w:val="bullet"/>
      <w:lvlText w:val="■"/>
      <w:lvlJc w:val="left"/>
      <w:pPr>
        <w:ind w:left="4320" w:hanging="360"/>
      </w:pPr>
    </w:lvl>
    <w:lvl w:ilvl="6" w:tplc="B49672BA">
      <w:start w:val="1"/>
      <w:numFmt w:val="bullet"/>
      <w:lvlText w:val="●"/>
      <w:lvlJc w:val="left"/>
      <w:pPr>
        <w:ind w:left="5040" w:hanging="360"/>
      </w:pPr>
    </w:lvl>
    <w:lvl w:ilvl="7" w:tplc="E9808D22">
      <w:start w:val="1"/>
      <w:numFmt w:val="bullet"/>
      <w:lvlText w:val="●"/>
      <w:lvlJc w:val="left"/>
      <w:pPr>
        <w:ind w:left="5760" w:hanging="360"/>
      </w:pPr>
    </w:lvl>
    <w:lvl w:ilvl="8" w:tplc="D00E2224">
      <w:start w:val="1"/>
      <w:numFmt w:val="bullet"/>
      <w:lvlText w:val="●"/>
      <w:lvlJc w:val="left"/>
      <w:pPr>
        <w:ind w:left="6480" w:hanging="360"/>
      </w:pPr>
    </w:lvl>
  </w:abstractNum>
  <w:num w:numId="1" w16cid:durableId="2131044166">
    <w:abstractNumId w:val="2"/>
    <w:lvlOverride w:ilvl="0">
      <w:startOverride w:val="1"/>
    </w:lvlOverride>
  </w:num>
  <w:num w:numId="2" w16cid:durableId="238901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A0"/>
    <w:rsid w:val="001B7AF5"/>
    <w:rsid w:val="006939E4"/>
    <w:rsid w:val="00A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4532"/>
  <w15:docId w15:val="{9A05382A-DEA5-458D-B9F9-60754E1A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AG" w:eastAsia="en-AG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55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Testbench Anatomy — Block Diagram</dc:title>
  <dc:creator>Nur3501</dc:creator>
  <cp:lastModifiedBy>Nur Mohammad</cp:lastModifiedBy>
  <cp:revision>2</cp:revision>
  <dcterms:created xsi:type="dcterms:W3CDTF">2026-09-01T18:12:00Z</dcterms:created>
  <dcterms:modified xsi:type="dcterms:W3CDTF">2026-09-01T19:14:00Z</dcterms:modified>
</cp:coreProperties>
</file>