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550"/>
          <w:sz w:val="32"/>
          <w:szCs w:val="32"/>
        </w:rPr>
        <w:t xml:space="preserve">Day 11 — Coverage Models</w:t>
      </w:r>
    </w:p>
    <w:p>
      <w:pPr>
        <w:pBdr>
          <w:bottom w:val="single" w:color="9FB3C8" w:sz="8" w:space="8"/>
        </w:pBdr>
        <w:spacing w:after="200"/>
      </w:pPr>
      <w:r>
        <w:rPr>
          <w:rFonts w:ascii="Calibri" w:cs="Calibri" w:eastAsia="Calibri" w:hAnsi="Calibri"/>
          <w:i/>
          <w:iCs/>
          <w:color w:val="595959"/>
          <w:sz w:val="20"/>
          <w:szCs w:val="20"/>
        </w:rPr>
        <w:t xml:space="preserve">FSM coverage for the sequence detector, the FIFO count and cross-coverage plans, the feature table, and branch vs. functional coverage.</w:t>
      </w:r>
    </w:p>
    <w:p>
      <w:pPr>
        <w:pStyle w:val="Heading1"/>
        <w:spacing w:after="110" w:before="0"/>
      </w:pPr>
      <w:r>
        <w:rPr>
          <w:rFonts w:ascii="Calibri" w:cs="Calibri" w:eastAsia="Calibri" w:hAnsi="Calibri"/>
          <w:b/>
          <w:bCs/>
          <w:sz w:val="21"/>
          <w:szCs w:val="21"/>
        </w:rPr>
        <w:t xml:space="preserve">Item 1 — Sequence Detector: States, Transitions, and Coverage Model</w:t>
      </w:r>
    </w:p>
    <w:p>
      <w:pPr>
        <w:spacing w:after="110" w:line="268"/>
      </w:pPr>
      <w:r>
        <w:rPr>
          <w:rFonts w:ascii="Calibri" w:cs="Calibri" w:eastAsia="Calibri" w:hAnsi="Calibri"/>
          <w:b/>
          <w:bCs/>
          <w:sz w:val="21"/>
          <w:szCs w:val="21"/>
        </w:rPr>
        <w:t xml:space="preserve">States (5):</w:t>
      </w:r>
      <w:r>
        <w:rPr>
          <w:rFonts w:ascii="Calibri" w:cs="Calibri" w:eastAsia="Calibri" w:hAnsi="Calibri"/>
          <w:sz w:val="21"/>
          <w:szCs w:val="21"/>
        </w:rPr>
        <w:t xml:space="preserve"> </w:t>
      </w:r>
      <w:r>
        <w:rPr>
          <w:rFonts w:ascii="Consolas" w:cs="Consolas" w:eastAsia="Consolas" w:hAnsi="Consolas"/>
          <w:color w:val="9A2617"/>
          <w:sz w:val="18"/>
          <w:szCs w:val="18"/>
        </w:rPr>
        <w:t xml:space="preserve">IDLE</w:t>
      </w:r>
      <w:r>
        <w:rPr>
          <w:rFonts w:ascii="Calibri" w:cs="Calibri" w:eastAsia="Calibri" w:hAnsi="Calibri"/>
          <w:sz w:val="21"/>
          <w:szCs w:val="21"/>
        </w:rPr>
        <w:t xml:space="preserve">, </w:t>
      </w:r>
      <w:r>
        <w:rPr>
          <w:rFonts w:ascii="Consolas" w:cs="Consolas" w:eastAsia="Consolas" w:hAnsi="Consolas"/>
          <w:color w:val="9A2617"/>
          <w:sz w:val="18"/>
          <w:szCs w:val="18"/>
        </w:rPr>
        <w:t xml:space="preserve">S1</w:t>
      </w:r>
      <w:r>
        <w:rPr>
          <w:rFonts w:ascii="Calibri" w:cs="Calibri" w:eastAsia="Calibri" w:hAnsi="Calibri"/>
          <w:sz w:val="21"/>
          <w:szCs w:val="21"/>
        </w:rPr>
        <w:t xml:space="preserve">, </w:t>
      </w:r>
      <w:r>
        <w:rPr>
          <w:rFonts w:ascii="Consolas" w:cs="Consolas" w:eastAsia="Consolas" w:hAnsi="Consolas"/>
          <w:color w:val="9A2617"/>
          <w:sz w:val="18"/>
          <w:szCs w:val="18"/>
        </w:rPr>
        <w:t xml:space="preserve">S10</w:t>
      </w:r>
      <w:r>
        <w:rPr>
          <w:rFonts w:ascii="Calibri" w:cs="Calibri" w:eastAsia="Calibri" w:hAnsi="Calibri"/>
          <w:sz w:val="21"/>
          <w:szCs w:val="21"/>
        </w:rPr>
        <w:t xml:space="preserve">, </w:t>
      </w:r>
      <w:r>
        <w:rPr>
          <w:rFonts w:ascii="Consolas" w:cs="Consolas" w:eastAsia="Consolas" w:hAnsi="Consolas"/>
          <w:color w:val="9A2617"/>
          <w:sz w:val="18"/>
          <w:szCs w:val="18"/>
        </w:rPr>
        <w:t xml:space="preserve">S101</w:t>
      </w:r>
      <w:r>
        <w:rPr>
          <w:rFonts w:ascii="Calibri" w:cs="Calibri" w:eastAsia="Calibri" w:hAnsi="Calibri"/>
          <w:sz w:val="21"/>
          <w:szCs w:val="21"/>
        </w:rPr>
        <w:t xml:space="preserve">, </w:t>
      </w:r>
      <w:r>
        <w:rPr>
          <w:rFonts w:ascii="Consolas" w:cs="Consolas" w:eastAsia="Consolas" w:hAnsi="Consolas"/>
          <w:color w:val="9A2617"/>
          <w:sz w:val="18"/>
          <w:szCs w:val="18"/>
        </w:rPr>
        <w:t xml:space="preserve">S1011</w:t>
      </w:r>
    </w:p>
    <w:p>
      <w:pPr>
        <w:spacing w:after="60" w:line="268"/>
      </w:pPr>
      <w:r>
        <w:rPr>
          <w:rFonts w:ascii="Calibri" w:cs="Calibri" w:eastAsia="Calibri" w:hAnsi="Calibri"/>
          <w:b/>
          <w:bCs/>
          <w:sz w:val="21"/>
          <w:szCs w:val="21"/>
        </w:rPr>
        <w:t xml:space="preserve">Transitions (10 total — 5 states × 2 input values):</w:t>
      </w:r>
    </w:p>
    <w:p>
      <w:pPr>
        <w:pBdr>
          <w:top w:val="single" w:color="D6DCE4" w:sz="4" w:space="6"/>
          <w:bottom w:val="single" w:color="D6DCE4" w:sz="4" w:space="6"/>
          <w:left w:val="single" w:color="5B7C9D" w:sz="18" w:space="8"/>
          <w:right w:val="single" w:color="D6DCE4" w:sz="4" w:space="6"/>
        </w:pBdr>
        <w:shd w:fill="F5F7FA" w:color="auto" w:val="clear"/>
        <w:spacing w:after="150" w:line="268"/>
      </w:pPr>
      <w:r>
        <w:rPr>
          <w:rFonts w:ascii="Consolas" w:cs="Consolas" w:eastAsia="Consolas" w:hAnsi="Consolas"/>
          <w:color w:val="9A2617"/>
          <w:sz w:val="18"/>
          <w:szCs w:val="18"/>
        </w:rPr>
        <w:t xml:space="preserve">IDLE</w:t>
      </w:r>
      <w:r>
        <w:rPr>
          <w:rFonts w:ascii="Calibri" w:cs="Calibri" w:eastAsia="Calibri" w:hAnsi="Calibri"/>
          <w:sz w:val="21"/>
          <w:szCs w:val="21"/>
        </w:rPr>
        <w:t xml:space="preserve">→</w:t>
      </w:r>
      <w:r>
        <w:rPr>
          <w:rFonts w:ascii="Consolas" w:cs="Consolas" w:eastAsia="Consolas" w:hAnsi="Consolas"/>
          <w:color w:val="9A2617"/>
          <w:sz w:val="18"/>
          <w:szCs w:val="18"/>
        </w:rPr>
        <w:t xml:space="preserve">IDLE</w:t>
      </w:r>
      <w:r>
        <w:rPr>
          <w:rFonts w:ascii="Calibri" w:cs="Calibri" w:eastAsia="Calibri" w:hAnsi="Calibri"/>
          <w:sz w:val="21"/>
          <w:szCs w:val="21"/>
        </w:rPr>
        <w:t xml:space="preserve">(0), </w:t>
      </w:r>
      <w:r>
        <w:rPr>
          <w:rFonts w:ascii="Consolas" w:cs="Consolas" w:eastAsia="Consolas" w:hAnsi="Consolas"/>
          <w:color w:val="9A2617"/>
          <w:sz w:val="18"/>
          <w:szCs w:val="18"/>
        </w:rPr>
        <w:t xml:space="preserve">IDLE</w:t>
      </w:r>
      <w:r>
        <w:rPr>
          <w:rFonts w:ascii="Calibri" w:cs="Calibri" w:eastAsia="Calibri" w:hAnsi="Calibri"/>
          <w:sz w:val="21"/>
          <w:szCs w:val="21"/>
        </w:rPr>
        <w:t xml:space="preserve">→</w:t>
      </w:r>
      <w:r>
        <w:rPr>
          <w:rFonts w:ascii="Consolas" w:cs="Consolas" w:eastAsia="Consolas" w:hAnsi="Consolas"/>
          <w:color w:val="9A2617"/>
          <w:sz w:val="18"/>
          <w:szCs w:val="18"/>
        </w:rPr>
        <w:t xml:space="preserve">S1</w:t>
      </w:r>
      <w:r>
        <w:rPr>
          <w:rFonts w:ascii="Calibri" w:cs="Calibri" w:eastAsia="Calibri" w:hAnsi="Calibri"/>
          <w:sz w:val="21"/>
          <w:szCs w:val="21"/>
        </w:rPr>
        <w:t xml:space="preserve">(1), </w:t>
      </w:r>
      <w:r>
        <w:rPr>
          <w:rFonts w:ascii="Consolas" w:cs="Consolas" w:eastAsia="Consolas" w:hAnsi="Consolas"/>
          <w:color w:val="9A2617"/>
          <w:sz w:val="18"/>
          <w:szCs w:val="18"/>
        </w:rPr>
        <w:t xml:space="preserve">S1</w:t>
      </w:r>
      <w:r>
        <w:rPr>
          <w:rFonts w:ascii="Calibri" w:cs="Calibri" w:eastAsia="Calibri" w:hAnsi="Calibri"/>
          <w:sz w:val="21"/>
          <w:szCs w:val="21"/>
        </w:rPr>
        <w:t xml:space="preserve">→</w:t>
      </w:r>
      <w:r>
        <w:rPr>
          <w:rFonts w:ascii="Consolas" w:cs="Consolas" w:eastAsia="Consolas" w:hAnsi="Consolas"/>
          <w:color w:val="9A2617"/>
          <w:sz w:val="18"/>
          <w:szCs w:val="18"/>
        </w:rPr>
        <w:t xml:space="preserve">S10</w:t>
      </w:r>
      <w:r>
        <w:rPr>
          <w:rFonts w:ascii="Calibri" w:cs="Calibri" w:eastAsia="Calibri" w:hAnsi="Calibri"/>
          <w:sz w:val="21"/>
          <w:szCs w:val="21"/>
        </w:rPr>
        <w:t xml:space="preserve">(0), </w:t>
      </w:r>
      <w:r>
        <w:rPr>
          <w:rFonts w:ascii="Consolas" w:cs="Consolas" w:eastAsia="Consolas" w:hAnsi="Consolas"/>
          <w:color w:val="9A2617"/>
          <w:sz w:val="18"/>
          <w:szCs w:val="18"/>
        </w:rPr>
        <w:t xml:space="preserve">S1</w:t>
      </w:r>
      <w:r>
        <w:rPr>
          <w:rFonts w:ascii="Calibri" w:cs="Calibri" w:eastAsia="Calibri" w:hAnsi="Calibri"/>
          <w:sz w:val="21"/>
          <w:szCs w:val="21"/>
        </w:rPr>
        <w:t xml:space="preserve">→</w:t>
      </w:r>
      <w:r>
        <w:rPr>
          <w:rFonts w:ascii="Consolas" w:cs="Consolas" w:eastAsia="Consolas" w:hAnsi="Consolas"/>
          <w:color w:val="9A2617"/>
          <w:sz w:val="18"/>
          <w:szCs w:val="18"/>
        </w:rPr>
        <w:t xml:space="preserve">S1</w:t>
      </w:r>
      <w:r>
        <w:rPr>
          <w:rFonts w:ascii="Calibri" w:cs="Calibri" w:eastAsia="Calibri" w:hAnsi="Calibri"/>
          <w:sz w:val="21"/>
          <w:szCs w:val="21"/>
        </w:rPr>
        <w:t xml:space="preserve">(1), </w:t>
      </w:r>
      <w:r>
        <w:rPr>
          <w:rFonts w:ascii="Consolas" w:cs="Consolas" w:eastAsia="Consolas" w:hAnsi="Consolas"/>
          <w:color w:val="9A2617"/>
          <w:sz w:val="18"/>
          <w:szCs w:val="18"/>
        </w:rPr>
        <w:t xml:space="preserve">S10</w:t>
      </w:r>
      <w:r>
        <w:rPr>
          <w:rFonts w:ascii="Calibri" w:cs="Calibri" w:eastAsia="Calibri" w:hAnsi="Calibri"/>
          <w:sz w:val="21"/>
          <w:szCs w:val="21"/>
        </w:rPr>
        <w:t xml:space="preserve">→</w:t>
      </w:r>
      <w:r>
        <w:rPr>
          <w:rFonts w:ascii="Consolas" w:cs="Consolas" w:eastAsia="Consolas" w:hAnsi="Consolas"/>
          <w:color w:val="9A2617"/>
          <w:sz w:val="18"/>
          <w:szCs w:val="18"/>
        </w:rPr>
        <w:t xml:space="preserve">IDLE</w:t>
      </w:r>
      <w:r>
        <w:rPr>
          <w:rFonts w:ascii="Calibri" w:cs="Calibri" w:eastAsia="Calibri" w:hAnsi="Calibri"/>
          <w:sz w:val="21"/>
          <w:szCs w:val="21"/>
        </w:rPr>
        <w:t xml:space="preserve">(0), </w:t>
      </w:r>
      <w:r>
        <w:rPr>
          <w:rFonts w:ascii="Consolas" w:cs="Consolas" w:eastAsia="Consolas" w:hAnsi="Consolas"/>
          <w:color w:val="9A2617"/>
          <w:sz w:val="18"/>
          <w:szCs w:val="18"/>
        </w:rPr>
        <w:t xml:space="preserve">S10</w:t>
      </w:r>
      <w:r>
        <w:rPr>
          <w:rFonts w:ascii="Calibri" w:cs="Calibri" w:eastAsia="Calibri" w:hAnsi="Calibri"/>
          <w:sz w:val="21"/>
          <w:szCs w:val="21"/>
        </w:rPr>
        <w:t xml:space="preserve">→</w:t>
      </w:r>
      <w:r>
        <w:rPr>
          <w:rFonts w:ascii="Consolas" w:cs="Consolas" w:eastAsia="Consolas" w:hAnsi="Consolas"/>
          <w:color w:val="9A2617"/>
          <w:sz w:val="18"/>
          <w:szCs w:val="18"/>
        </w:rPr>
        <w:t xml:space="preserve">S101</w:t>
      </w:r>
      <w:r>
        <w:rPr>
          <w:rFonts w:ascii="Calibri" w:cs="Calibri" w:eastAsia="Calibri" w:hAnsi="Calibri"/>
          <w:sz w:val="21"/>
          <w:szCs w:val="21"/>
        </w:rPr>
        <w:t xml:space="preserve">(1), </w:t>
      </w:r>
      <w:r>
        <w:rPr>
          <w:rFonts w:ascii="Consolas" w:cs="Consolas" w:eastAsia="Consolas" w:hAnsi="Consolas"/>
          <w:color w:val="9A2617"/>
          <w:sz w:val="18"/>
          <w:szCs w:val="18"/>
        </w:rPr>
        <w:t xml:space="preserve">S101</w:t>
      </w:r>
      <w:r>
        <w:rPr>
          <w:rFonts w:ascii="Calibri" w:cs="Calibri" w:eastAsia="Calibri" w:hAnsi="Calibri"/>
          <w:sz w:val="21"/>
          <w:szCs w:val="21"/>
        </w:rPr>
        <w:t xml:space="preserve">→</w:t>
      </w:r>
      <w:r>
        <w:rPr>
          <w:rFonts w:ascii="Consolas" w:cs="Consolas" w:eastAsia="Consolas" w:hAnsi="Consolas"/>
          <w:color w:val="9A2617"/>
          <w:sz w:val="18"/>
          <w:szCs w:val="18"/>
        </w:rPr>
        <w:t xml:space="preserve">S10</w:t>
      </w:r>
      <w:r>
        <w:rPr>
          <w:rFonts w:ascii="Calibri" w:cs="Calibri" w:eastAsia="Calibri" w:hAnsi="Calibri"/>
          <w:sz w:val="21"/>
          <w:szCs w:val="21"/>
        </w:rPr>
        <w:t xml:space="preserve">(0), </w:t>
      </w:r>
      <w:r>
        <w:rPr>
          <w:rFonts w:ascii="Consolas" w:cs="Consolas" w:eastAsia="Consolas" w:hAnsi="Consolas"/>
          <w:color w:val="9A2617"/>
          <w:sz w:val="18"/>
          <w:szCs w:val="18"/>
        </w:rPr>
        <w:t xml:space="preserve">S101</w:t>
      </w:r>
      <w:r>
        <w:rPr>
          <w:rFonts w:ascii="Calibri" w:cs="Calibri" w:eastAsia="Calibri" w:hAnsi="Calibri"/>
          <w:sz w:val="21"/>
          <w:szCs w:val="21"/>
        </w:rPr>
        <w:t xml:space="preserve">→</w:t>
      </w:r>
      <w:r>
        <w:rPr>
          <w:rFonts w:ascii="Consolas" w:cs="Consolas" w:eastAsia="Consolas" w:hAnsi="Consolas"/>
          <w:color w:val="9A2617"/>
          <w:sz w:val="18"/>
          <w:szCs w:val="18"/>
        </w:rPr>
        <w:t xml:space="preserve">S1011</w:t>
      </w:r>
      <w:r>
        <w:rPr>
          <w:rFonts w:ascii="Calibri" w:cs="Calibri" w:eastAsia="Calibri" w:hAnsi="Calibri"/>
          <w:sz w:val="21"/>
          <w:szCs w:val="21"/>
        </w:rPr>
        <w:t xml:space="preserve">(1, match), </w:t>
      </w:r>
      <w:r>
        <w:rPr>
          <w:rFonts w:ascii="Consolas" w:cs="Consolas" w:eastAsia="Consolas" w:hAnsi="Consolas"/>
          <w:color w:val="9A2617"/>
          <w:sz w:val="18"/>
          <w:szCs w:val="18"/>
        </w:rPr>
        <w:t xml:space="preserve">S1011</w:t>
      </w:r>
      <w:r>
        <w:rPr>
          <w:rFonts w:ascii="Calibri" w:cs="Calibri" w:eastAsia="Calibri" w:hAnsi="Calibri"/>
          <w:sz w:val="21"/>
          <w:szCs w:val="21"/>
        </w:rPr>
        <w:t xml:space="preserve">→</w:t>
      </w:r>
      <w:r>
        <w:rPr>
          <w:rFonts w:ascii="Consolas" w:cs="Consolas" w:eastAsia="Consolas" w:hAnsi="Consolas"/>
          <w:color w:val="9A2617"/>
          <w:sz w:val="18"/>
          <w:szCs w:val="18"/>
        </w:rPr>
        <w:t xml:space="preserve">S10</w:t>
      </w:r>
      <w:r>
        <w:rPr>
          <w:rFonts w:ascii="Calibri" w:cs="Calibri" w:eastAsia="Calibri" w:hAnsi="Calibri"/>
          <w:sz w:val="21"/>
          <w:szCs w:val="21"/>
        </w:rPr>
        <w:t xml:space="preserve">(0), </w:t>
      </w:r>
      <w:r>
        <w:rPr>
          <w:rFonts w:ascii="Consolas" w:cs="Consolas" w:eastAsia="Consolas" w:hAnsi="Consolas"/>
          <w:color w:val="9A2617"/>
          <w:sz w:val="18"/>
          <w:szCs w:val="18"/>
        </w:rPr>
        <w:t xml:space="preserve">S1011</w:t>
      </w:r>
      <w:r>
        <w:rPr>
          <w:rFonts w:ascii="Calibri" w:cs="Calibri" w:eastAsia="Calibri" w:hAnsi="Calibri"/>
          <w:sz w:val="21"/>
          <w:szCs w:val="21"/>
        </w:rPr>
        <w:t xml:space="preserve">→</w:t>
      </w:r>
      <w:r>
        <w:rPr>
          <w:rFonts w:ascii="Consolas" w:cs="Consolas" w:eastAsia="Consolas" w:hAnsi="Consolas"/>
          <w:color w:val="9A2617"/>
          <w:sz w:val="18"/>
          <w:szCs w:val="18"/>
        </w:rPr>
        <w:t xml:space="preserve">S1</w:t>
      </w:r>
      <w:r>
        <w:rPr>
          <w:rFonts w:ascii="Calibri" w:cs="Calibri" w:eastAsia="Calibri" w:hAnsi="Calibri"/>
          <w:sz w:val="21"/>
          <w:szCs w:val="21"/>
        </w:rPr>
        <w:t xml:space="preserve">(1, overlap).</w:t>
      </w:r>
    </w:p>
    <w:p>
      <w:pPr>
        <w:pStyle w:val="Heading2"/>
        <w:spacing w:after="100" w:before="220"/>
      </w:pPr>
      <w:r>
        <w:rPr>
          <w:rFonts w:ascii="Calibri" w:cs="Calibri" w:eastAsia="Calibri" w:hAnsi="Calibri"/>
          <w:b/>
          <w:bCs/>
          <w:sz w:val="21"/>
          <w:szCs w:val="21"/>
        </w:rPr>
        <w:t xml:space="preserve">Coverage model</w:t>
      </w:r>
    </w:p>
    <w:p>
      <w:pPr>
        <w:pStyle w:val="ListParagraph"/>
        <w:numPr>
          <w:ilvl w:val="0"/>
          <w:numId w:val="2"/>
        </w:numPr>
        <w:spacing w:after="140" w:line="268"/>
      </w:pPr>
      <w:r>
        <w:rPr>
          <w:rFonts w:ascii="Calibri" w:cs="Calibri" w:eastAsia="Calibri" w:hAnsi="Calibri"/>
          <w:b/>
          <w:bCs/>
          <w:sz w:val="21"/>
          <w:szCs w:val="21"/>
        </w:rPr>
        <w:t xml:space="preserve">Coverpoint on </w:t>
      </w:r>
      <w:r>
        <w:rPr>
          <w:rFonts w:ascii="Consolas" w:cs="Consolas" w:eastAsia="Consolas" w:hAnsi="Consolas"/>
          <w:b/>
          <w:bCs/>
          <w:color w:val="9A2617"/>
          <w:sz w:val="18"/>
          <w:szCs w:val="18"/>
        </w:rPr>
        <w:t xml:space="preserve">state</w:t>
      </w:r>
      <w:r>
        <w:rPr>
          <w:rFonts w:ascii="Calibri" w:cs="Calibri" w:eastAsia="Calibri" w:hAnsi="Calibri"/>
          <w:sz w:val="21"/>
          <w:szCs w:val="21"/>
        </w:rPr>
        <w:t xml:space="preserve"> — bins for each of the 5 states. Says: “the FSM actually visited every state at least once,” not just the ones on the obvious happy path. In particular the DETECT state </w:t>
      </w:r>
      <w:r>
        <w:rPr>
          <w:rFonts w:ascii="Consolas" w:cs="Consolas" w:eastAsia="Consolas" w:hAnsi="Consolas"/>
          <w:color w:val="9A2617"/>
          <w:sz w:val="18"/>
          <w:szCs w:val="18"/>
        </w:rPr>
        <w:t xml:space="preserve">S1011</w:t>
      </w:r>
      <w:r>
        <w:rPr>
          <w:rFonts w:ascii="Calibri" w:cs="Calibri" w:eastAsia="Calibri" w:hAnsi="Calibri"/>
          <w:sz w:val="21"/>
          <w:szCs w:val="21"/>
        </w:rPr>
        <w:t xml:space="preserve"> is only reached when a full match completes.</w:t>
      </w:r>
    </w:p>
    <w:p>
      <w:pPr>
        <w:pStyle w:val="ListParagraph"/>
        <w:numPr>
          <w:ilvl w:val="0"/>
          <w:numId w:val="2"/>
        </w:numPr>
        <w:spacing w:after="140" w:line="268"/>
      </w:pPr>
      <w:r>
        <w:rPr>
          <w:rFonts w:ascii="Calibri" w:cs="Calibri" w:eastAsia="Calibri" w:hAnsi="Calibri"/>
          <w:b/>
          <w:bCs/>
          <w:sz w:val="21"/>
          <w:szCs w:val="21"/>
        </w:rPr>
        <w:t xml:space="preserve">Coverpoint on the transition arc </w:t>
      </w:r>
      <w:r>
        <w:rPr>
          <w:rFonts w:ascii="Consolas" w:cs="Consolas" w:eastAsia="Consolas" w:hAnsi="Consolas"/>
          <w:b/>
          <w:bCs/>
          <w:color w:val="9A2617"/>
          <w:sz w:val="18"/>
          <w:szCs w:val="18"/>
        </w:rPr>
        <w:t xml:space="preserve">(state, din) → next_state</w:t>
      </w:r>
      <w:r>
        <w:rPr>
          <w:rFonts w:ascii="Calibri" w:cs="Calibri" w:eastAsia="Calibri" w:hAnsi="Calibri"/>
          <w:sz w:val="21"/>
          <w:szCs w:val="21"/>
        </w:rPr>
        <w:t xml:space="preserve"> — 10 bins, one per row of the transition table. This is the </w:t>
      </w:r>
      <w:r>
        <w:rPr>
          <w:rFonts w:ascii="Calibri" w:cs="Calibri" w:eastAsia="Calibri" w:hAnsi="Calibri"/>
          <w:i/>
          <w:iCs/>
          <w:sz w:val="21"/>
          <w:szCs w:val="21"/>
        </w:rPr>
        <w:t xml:space="preserve">strongest</w:t>
      </w:r>
      <w:r>
        <w:rPr>
          <w:rFonts w:ascii="Calibri" w:cs="Calibri" w:eastAsia="Calibri" w:hAnsi="Calibri"/>
          <w:sz w:val="21"/>
          <w:szCs w:val="21"/>
        </w:rPr>
        <w:t xml:space="preserve"> FSM metric (Learning Topic 11.2) — visiting every state doesn’t guarantee every </w:t>
      </w:r>
      <w:r>
        <w:rPr>
          <w:rFonts w:ascii="Calibri" w:cs="Calibri" w:eastAsia="Calibri" w:hAnsi="Calibri"/>
          <w:i/>
          <w:iCs/>
          <w:sz w:val="21"/>
          <w:szCs w:val="21"/>
        </w:rPr>
        <w:t xml:space="preserve">arc into and out of</w:t>
      </w:r>
      <w:r>
        <w:rPr>
          <w:rFonts w:ascii="Calibri" w:cs="Calibri" w:eastAsia="Calibri" w:hAnsi="Calibri"/>
          <w:sz w:val="21"/>
          <w:szCs w:val="21"/>
        </w:rPr>
        <w:t xml:space="preserve"> that state was exercised, and a bug could hide specifically in one untested arc (e.g., the self-loops </w:t>
      </w:r>
      <w:r>
        <w:rPr>
          <w:rFonts w:ascii="Consolas" w:cs="Consolas" w:eastAsia="Consolas" w:hAnsi="Consolas"/>
          <w:color w:val="9A2617"/>
          <w:sz w:val="18"/>
          <w:szCs w:val="18"/>
        </w:rPr>
        <w:t xml:space="preserve">IDLE</w:t>
      </w:r>
      <w:r>
        <w:rPr>
          <w:rFonts w:ascii="Calibri" w:cs="Calibri" w:eastAsia="Calibri" w:hAnsi="Calibri"/>
          <w:sz w:val="21"/>
          <w:szCs w:val="21"/>
        </w:rPr>
        <w:t xml:space="preserve">→</w:t>
      </w:r>
      <w:r>
        <w:rPr>
          <w:rFonts w:ascii="Consolas" w:cs="Consolas" w:eastAsia="Consolas" w:hAnsi="Consolas"/>
          <w:color w:val="9A2617"/>
          <w:sz w:val="18"/>
          <w:szCs w:val="18"/>
        </w:rPr>
        <w:t xml:space="preserve">IDLE</w:t>
      </w:r>
      <w:r>
        <w:rPr>
          <w:rFonts w:ascii="Calibri" w:cs="Calibri" w:eastAsia="Calibri" w:hAnsi="Calibri"/>
          <w:sz w:val="21"/>
          <w:szCs w:val="21"/>
        </w:rPr>
        <w:t xml:space="preserve"> and </w:t>
      </w:r>
      <w:r>
        <w:rPr>
          <w:rFonts w:ascii="Consolas" w:cs="Consolas" w:eastAsia="Consolas" w:hAnsi="Consolas"/>
          <w:color w:val="9A2617"/>
          <w:sz w:val="18"/>
          <w:szCs w:val="18"/>
        </w:rPr>
        <w:t xml:space="preserve">S1</w:t>
      </w:r>
      <w:r>
        <w:rPr>
          <w:rFonts w:ascii="Calibri" w:cs="Calibri" w:eastAsia="Calibri" w:hAnsi="Calibri"/>
          <w:sz w:val="21"/>
          <w:szCs w:val="21"/>
        </w:rPr>
        <w:t xml:space="preserve">→</w:t>
      </w:r>
      <w:r>
        <w:rPr>
          <w:rFonts w:ascii="Consolas" w:cs="Consolas" w:eastAsia="Consolas" w:hAnsi="Consolas"/>
          <w:color w:val="9A2617"/>
          <w:sz w:val="18"/>
          <w:szCs w:val="18"/>
        </w:rPr>
        <w:t xml:space="preserve">S1</w:t>
      </w:r>
      <w:r>
        <w:rPr>
          <w:rFonts w:ascii="Calibri" w:cs="Calibri" w:eastAsia="Calibri" w:hAnsi="Calibri"/>
          <w:sz w:val="21"/>
          <w:szCs w:val="21"/>
        </w:rPr>
        <w:t xml:space="preserve"> are easy to under-test if stimulus is biased toward “always making progress,” and the overlap arc </w:t>
      </w:r>
      <w:r>
        <w:rPr>
          <w:rFonts w:ascii="Consolas" w:cs="Consolas" w:eastAsia="Consolas" w:hAnsi="Consolas"/>
          <w:color w:val="9A2617"/>
          <w:sz w:val="18"/>
          <w:szCs w:val="18"/>
        </w:rPr>
        <w:t xml:space="preserve">S1011</w:t>
      </w:r>
      <w:r>
        <w:rPr>
          <w:rFonts w:ascii="Calibri" w:cs="Calibri" w:eastAsia="Calibri" w:hAnsi="Calibri"/>
          <w:sz w:val="21"/>
          <w:szCs w:val="21"/>
        </w:rPr>
        <w:t xml:space="preserve">→</w:t>
      </w:r>
      <w:r>
        <w:rPr>
          <w:rFonts w:ascii="Consolas" w:cs="Consolas" w:eastAsia="Consolas" w:hAnsi="Consolas"/>
          <w:color w:val="9A2617"/>
          <w:sz w:val="18"/>
          <w:szCs w:val="18"/>
        </w:rPr>
        <w:t xml:space="preserve">S1</w:t>
      </w:r>
      <w:r>
        <w:rPr>
          <w:rFonts w:ascii="Calibri" w:cs="Calibri" w:eastAsia="Calibri" w:hAnsi="Calibri"/>
          <w:sz w:val="21"/>
          <w:szCs w:val="21"/>
        </w:rPr>
        <w:t xml:space="preserve"> only fires when a </w:t>
      </w:r>
      <w:r>
        <w:rPr>
          <w:rFonts w:ascii="Consolas" w:cs="Consolas" w:eastAsia="Consolas" w:hAnsi="Consolas"/>
          <w:color w:val="9A2617"/>
          <w:sz w:val="18"/>
          <w:szCs w:val="18"/>
        </w:rPr>
        <w:t xml:space="preserve">1</w:t>
      </w:r>
      <w:r>
        <w:rPr>
          <w:rFonts w:ascii="Calibri" w:cs="Calibri" w:eastAsia="Calibri" w:hAnsi="Calibri"/>
          <w:sz w:val="21"/>
          <w:szCs w:val="21"/>
        </w:rPr>
        <w:t xml:space="preserve"> immediately follows a completed match).</w:t>
      </w:r>
    </w:p>
    <w:p>
      <w:pPr>
        <w:pStyle w:val="ListParagraph"/>
        <w:numPr>
          <w:ilvl w:val="0"/>
          <w:numId w:val="2"/>
        </w:numPr>
        <w:spacing w:after="140" w:line="268"/>
      </w:pPr>
      <w:r>
        <w:rPr>
          <w:rFonts w:ascii="Calibri" w:cs="Calibri" w:eastAsia="Calibri" w:hAnsi="Calibri"/>
          <w:b/>
          <w:bCs/>
          <w:sz w:val="21"/>
          <w:szCs w:val="21"/>
        </w:rPr>
        <w:t xml:space="preserve">Coverpoint on </w:t>
      </w:r>
      <w:r>
        <w:rPr>
          <w:rFonts w:ascii="Consolas" w:cs="Consolas" w:eastAsia="Consolas" w:hAnsi="Consolas"/>
          <w:b/>
          <w:bCs/>
          <w:color w:val="9A2617"/>
          <w:sz w:val="18"/>
          <w:szCs w:val="18"/>
        </w:rPr>
        <w:t xml:space="preserve">detected</w:t>
      </w:r>
      <w:r>
        <w:rPr>
          <w:rFonts w:ascii="Calibri" w:cs="Calibri" w:eastAsia="Calibri" w:hAnsi="Calibri"/>
          <w:sz w:val="21"/>
          <w:szCs w:val="21"/>
        </w:rPr>
        <w:t xml:space="preserve"> — bins for </w:t>
      </w:r>
      <w:r>
        <w:rPr>
          <w:rFonts w:ascii="Consolas" w:cs="Consolas" w:eastAsia="Consolas" w:hAnsi="Consolas"/>
          <w:color w:val="9A2617"/>
          <w:sz w:val="18"/>
          <w:szCs w:val="18"/>
        </w:rPr>
        <w:t xml:space="preserve">0</w:t>
      </w:r>
      <w:r>
        <w:rPr>
          <w:rFonts w:ascii="Calibri" w:cs="Calibri" w:eastAsia="Calibri" w:hAnsi="Calibri"/>
          <w:sz w:val="21"/>
          <w:szCs w:val="21"/>
        </w:rPr>
        <w:t xml:space="preserve"> and </w:t>
      </w:r>
      <w:r>
        <w:rPr>
          <w:rFonts w:ascii="Consolas" w:cs="Consolas" w:eastAsia="Consolas" w:hAnsi="Consolas"/>
          <w:color w:val="9A2617"/>
          <w:sz w:val="18"/>
          <w:szCs w:val="18"/>
        </w:rPr>
        <w:t xml:space="preserve">1</w:t>
      </w:r>
      <w:r>
        <w:rPr>
          <w:rFonts w:ascii="Calibri" w:cs="Calibri" w:eastAsia="Calibri" w:hAnsi="Calibri"/>
          <w:sz w:val="21"/>
          <w:szCs w:val="21"/>
        </w:rPr>
        <w:t xml:space="preserve">. Sounds trivial, but it’s the difference between “the FSM reached </w:t>
      </w:r>
      <w:r>
        <w:rPr>
          <w:rFonts w:ascii="Consolas" w:cs="Consolas" w:eastAsia="Consolas" w:hAnsi="Consolas"/>
          <w:color w:val="9A2617"/>
          <w:sz w:val="18"/>
          <w:szCs w:val="18"/>
        </w:rPr>
        <w:t xml:space="preserve">S101</w:t>
      </w:r>
      <w:r>
        <w:rPr>
          <w:rFonts w:ascii="Calibri" w:cs="Calibri" w:eastAsia="Calibri" w:hAnsi="Calibri"/>
          <w:sz w:val="21"/>
          <w:szCs w:val="21"/>
        </w:rPr>
        <w:t xml:space="preserve">” and “the FSM actually </w:t>
      </w:r>
      <w:r>
        <w:rPr>
          <w:rFonts w:ascii="Calibri" w:cs="Calibri" w:eastAsia="Calibri" w:hAnsi="Calibri"/>
          <w:i/>
          <w:iCs/>
          <w:sz w:val="21"/>
          <w:szCs w:val="21"/>
        </w:rPr>
        <w:t xml:space="preserve">entered </w:t>
      </w:r>
      <w:r>
        <w:rPr>
          <w:rFonts w:ascii="Consolas" w:cs="Consolas" w:eastAsia="Consolas" w:hAnsi="Consolas"/>
          <w:i/>
          <w:iCs/>
          <w:color w:val="9A2617"/>
          <w:sz w:val="18"/>
          <w:szCs w:val="18"/>
        </w:rPr>
        <w:t xml:space="preserve">S1011</w:t>
      </w:r>
      <w:r>
        <w:rPr>
          <w:rFonts w:ascii="Calibri" w:cs="Calibri" w:eastAsia="Calibri" w:hAnsi="Calibri"/>
          <w:sz w:val="21"/>
          <w:szCs w:val="21"/>
        </w:rPr>
        <w:t xml:space="preserve"> and fired the output” — these are not the same claim, and only the second one is what the design exists to do.</w:t>
      </w:r>
    </w:p>
    <w:p>
      <w:pPr>
        <w:pStyle w:val="ListParagraph"/>
        <w:numPr>
          <w:ilvl w:val="0"/>
          <w:numId w:val="2"/>
        </w:numPr>
        <w:spacing w:after="140" w:line="268"/>
      </w:pPr>
      <w:r>
        <w:rPr>
          <w:rFonts w:ascii="Calibri" w:cs="Calibri" w:eastAsia="Calibri" w:hAnsi="Calibri"/>
          <w:b/>
          <w:bCs/>
          <w:sz w:val="21"/>
          <w:szCs w:val="21"/>
        </w:rPr>
        <w:t xml:space="preserve">Coverpoint on “cycles between two consecutive </w:t>
      </w:r>
      <w:r>
        <w:rPr>
          <w:rFonts w:ascii="Consolas" w:cs="Consolas" w:eastAsia="Consolas" w:hAnsi="Consolas"/>
          <w:b/>
          <w:bCs/>
          <w:color w:val="9A2617"/>
          <w:sz w:val="18"/>
          <w:szCs w:val="18"/>
        </w:rPr>
        <w:t xml:space="preserve">detected</w:t>
      </w:r>
      <w:r>
        <w:rPr>
          <w:rFonts w:ascii="Calibri" w:cs="Calibri" w:eastAsia="Calibri" w:hAnsi="Calibri"/>
          <w:b/>
          <w:bCs/>
          <w:sz w:val="21"/>
          <w:szCs w:val="21"/>
        </w:rPr>
        <w:t xml:space="preserve"> pulses”</w:t>
      </w:r>
      <w:r>
        <w:rPr>
          <w:rFonts w:ascii="Calibri" w:cs="Calibri" w:eastAsia="Calibri" w:hAnsi="Calibri"/>
          <w:sz w:val="21"/>
          <w:szCs w:val="21"/>
        </w:rPr>
        <w:t xml:space="preserve"> — a bin specifically for a </w:t>
      </w:r>
      <w:r>
        <w:rPr>
          <w:rFonts w:ascii="Calibri" w:cs="Calibri" w:eastAsia="Calibri" w:hAnsi="Calibri"/>
          <w:b/>
          <w:bCs/>
          <w:sz w:val="21"/>
          <w:szCs w:val="21"/>
        </w:rPr>
        <w:t xml:space="preserve">3-cycle gap</w:t>
      </w:r>
      <w:r>
        <w:rPr>
          <w:rFonts w:ascii="Calibri" w:cs="Calibri" w:eastAsia="Calibri" w:hAnsi="Calibri"/>
          <w:sz w:val="21"/>
          <w:szCs w:val="21"/>
        </w:rPr>
        <w:t xml:space="preserve"> (the minimum possible, since the overlap is 1 bit out of a 4-bit pattern). This is deliberately narrower than “did detected fire twice” — it specifically confirms the </w:t>
      </w:r>
      <w:r>
        <w:rPr>
          <w:rFonts w:ascii="Calibri" w:cs="Calibri" w:eastAsia="Calibri" w:hAnsi="Calibri"/>
          <w:i/>
          <w:iCs/>
          <w:sz w:val="21"/>
          <w:szCs w:val="21"/>
        </w:rPr>
        <w:t xml:space="preserve">overlapping</w:t>
      </w:r>
      <w:r>
        <w:rPr>
          <w:rFonts w:ascii="Calibri" w:cs="Calibri" w:eastAsia="Calibri" w:hAnsi="Calibri"/>
          <w:sz w:val="21"/>
          <w:szCs w:val="21"/>
        </w:rPr>
        <w:t xml:space="preserve">-match corner case (Day 7’s corner case #1) was exercised, not just two isolated matches with lots of idle time in between. The </w:t>
      </w:r>
      <w:r>
        <w:rPr>
          <w:rFonts w:ascii="Consolas" w:cs="Consolas" w:eastAsia="Consolas" w:hAnsi="Consolas"/>
          <w:color w:val="9A2617"/>
          <w:sz w:val="18"/>
          <w:szCs w:val="18"/>
        </w:rPr>
        <w:t xml:space="preserve">seq_detect_1011_overlap_tb</w:t>
      </w:r>
      <w:r>
        <w:rPr>
          <w:rFonts w:ascii="Calibri" w:cs="Calibri" w:eastAsia="Calibri" w:hAnsi="Calibri"/>
          <w:sz w:val="21"/>
          <w:szCs w:val="21"/>
        </w:rPr>
        <w:t xml:space="preserve"> hits exactly this (pulses in cycles 5 and 8).</w:t>
      </w:r>
    </w:p>
    <w:p>
      <w:pPr>
        <w:pBdr>
          <w:top w:val="single" w:color="CBD9C4" w:sz="4" w:space="6"/>
          <w:bottom w:val="single" w:color="CBD9C4" w:sz="4" w:space="6"/>
          <w:left w:val="single" w:color="4E8A54" w:sz="18" w:space="8"/>
          <w:right w:val="single" w:color="CBD9C4" w:sz="4" w:space="6"/>
        </w:pBdr>
        <w:shd w:fill="F0F7F0" w:color="auto" w:val="clear"/>
        <w:spacing w:after="140" w:line="268"/>
      </w:pPr>
      <w:r>
        <w:rPr>
          <w:rFonts w:ascii="Calibri" w:cs="Calibri" w:eastAsia="Calibri" w:hAnsi="Calibri"/>
          <w:b/>
          <w:bCs/>
          <w:sz w:val="21"/>
          <w:szCs w:val="21"/>
        </w:rPr>
        <w:t xml:space="preserve">“Fully exercised” for this design</w:t>
      </w:r>
      <w:r>
        <w:rPr>
          <w:rFonts w:ascii="Calibri" w:cs="Calibri" w:eastAsia="Calibri" w:hAnsi="Calibri"/>
          <w:sz w:val="21"/>
          <w:szCs w:val="21"/>
        </w:rPr>
        <w:t xml:space="preserve"> means all 5 state bins, all 10 transition bins, both </w:t>
      </w:r>
      <w:r>
        <w:rPr>
          <w:rFonts w:ascii="Consolas" w:cs="Consolas" w:eastAsia="Consolas" w:hAnsi="Consolas"/>
          <w:color w:val="9A2617"/>
          <w:sz w:val="18"/>
          <w:szCs w:val="18"/>
        </w:rPr>
        <w:t xml:space="preserve">detected</w:t>
      </w:r>
      <w:r>
        <w:rPr>
          <w:rFonts w:ascii="Calibri" w:cs="Calibri" w:eastAsia="Calibri" w:hAnsi="Calibri"/>
          <w:sz w:val="21"/>
          <w:szCs w:val="21"/>
        </w:rPr>
        <w:t xml:space="preserve"> bins, and the 3-cycle-gap overlap bin have all been hit at least once.</w:t>
      </w:r>
    </w:p>
    <w:p>
      <w:pPr>
        <w:pStyle w:val="Heading1"/>
        <w:spacing w:after="110" w:before="260"/>
      </w:pPr>
      <w:r>
        <w:rPr>
          <w:rFonts w:ascii="Calibri" w:cs="Calibri" w:eastAsia="Calibri" w:hAnsi="Calibri"/>
          <w:b/>
          <w:bCs/>
          <w:sz w:val="21"/>
          <w:szCs w:val="21"/>
        </w:rPr>
        <w:t xml:space="preserve">Item 2 — FIFO: Coverage Plan for count</w:t>
      </w:r>
    </w:p>
    <w:p>
      <w:pPr>
        <w:spacing w:after="150" w:line="268"/>
      </w:pPr>
      <w:r>
        <w:rPr>
          <w:rFonts w:ascii="Calibri" w:cs="Calibri" w:eastAsia="Calibri" w:hAnsi="Calibri"/>
          <w:sz w:val="21"/>
          <w:szCs w:val="21"/>
        </w:rPr>
        <w:t xml:space="preserve">Following Learning Topic 11.6’s datapath guidance (boundary values 0, 1, max-1, max, plus mid-range) rather than one big “everything in the middle” bin:</w:t>
      </w:r>
    </w:p>
    <w:tbl>
      <w:tblPr>
        <w:tblW w:type="dxa" w:w="9026"/>
        <w:tblBorders>
          <w:top w:val="single" w:color="7F7F7F" w:sz="6"/>
          <w:left w:val="single" w:color="7F7F7F" w:sz="6"/>
          <w:bottom w:val="single" w:color="7F7F7F" w:sz="6"/>
          <w:right w:val="single" w:color="7F7F7F" w:sz="6"/>
          <w:insideH w:val="single" w:color="B0B0B0" w:sz="4"/>
          <w:insideV w:val="single" w:color="B0B0B0" w:sz="4"/>
        </w:tblBorders>
      </w:tblPr>
      <w:tblGrid>
        <w:gridCol w:w="1700"/>
        <w:gridCol w:w="1500"/>
        <w:gridCol w:w="5826"/>
      </w:tblGrid>
      <w:tr>
        <w:trPr>
          <w:tblHeader/>
        </w:trPr>
        <w:tc>
          <w:tcPr>
            <w:tcW w:type="dxa" w:w="1700"/>
            <w:shd w:fill="DDE5F0" w:color="auto" w:val="clear"/>
            <w:tcMar>
              <w:top w:type="dxa" w:w="55"/>
              <w:left w:type="dxa" w:w="100"/>
              <w:bottom w:type="dxa" w:w="55"/>
              <w:right w:type="dxa" w:w="100"/>
            </w:tcMar>
            <w:vAlign w:val="center"/>
          </w:tcPr>
          <w:p>
            <w:pPr>
              <w:spacing w:after="0" w:line="232"/>
              <w:jc w:val="center"/>
            </w:pPr>
            <w:r>
              <w:rPr>
                <w:rFonts w:ascii="Calibri" w:cs="Calibri" w:eastAsia="Calibri" w:hAnsi="Calibri"/>
                <w:b/>
                <w:bCs/>
                <w:sz w:val="19"/>
                <w:szCs w:val="19"/>
              </w:rPr>
              <w:t xml:space="preserve">Bin</w:t>
            </w:r>
          </w:p>
        </w:tc>
        <w:tc>
          <w:tcPr>
            <w:tcW w:type="dxa" w:w="1500"/>
            <w:shd w:fill="DDE5F0" w:color="auto" w:val="clear"/>
            <w:tcMar>
              <w:top w:type="dxa" w:w="55"/>
              <w:left w:type="dxa" w:w="100"/>
              <w:bottom w:type="dxa" w:w="55"/>
              <w:right w:type="dxa" w:w="100"/>
            </w:tcMar>
            <w:vAlign w:val="center"/>
          </w:tcPr>
          <w:p>
            <w:pPr>
              <w:spacing w:after="0" w:line="232"/>
              <w:jc w:val="center"/>
            </w:pPr>
            <w:r>
              <w:rPr>
                <w:rFonts w:ascii="Calibri" w:cs="Calibri" w:eastAsia="Calibri" w:hAnsi="Calibri"/>
                <w:b/>
                <w:bCs/>
                <w:sz w:val="19"/>
                <w:szCs w:val="19"/>
              </w:rPr>
              <w:t xml:space="preserve">Range</w:t>
            </w:r>
          </w:p>
        </w:tc>
        <w:tc>
          <w:tcPr>
            <w:tcW w:type="dxa" w:w="5826"/>
            <w:shd w:fill="DDE5F0" w:color="auto" w:val="clear"/>
            <w:tcMar>
              <w:top w:type="dxa" w:w="55"/>
              <w:left w:type="dxa" w:w="100"/>
              <w:bottom w:type="dxa" w:w="55"/>
              <w:right w:type="dxa" w:w="100"/>
            </w:tcMar>
            <w:vAlign w:val="center"/>
          </w:tcPr>
          <w:p>
            <w:pPr>
              <w:spacing w:after="0" w:line="232"/>
              <w:jc w:val="center"/>
            </w:pPr>
            <w:r>
              <w:rPr>
                <w:rFonts w:ascii="Calibri" w:cs="Calibri" w:eastAsia="Calibri" w:hAnsi="Calibri"/>
                <w:b/>
                <w:bCs/>
                <w:sz w:val="19"/>
                <w:szCs w:val="19"/>
              </w:rPr>
              <w:t xml:space="preserve">Why it matters</w:t>
            </w:r>
          </w:p>
        </w:tc>
      </w:tr>
      <w:tr>
        <w:trPr>
          <w:cantSplit/>
        </w:trPr>
        <w:tc>
          <w:tcPr>
            <w:tcW w:type="dxa" w:w="1700"/>
            <w:tcMar>
              <w:top w:type="dxa" w:w="55"/>
              <w:left w:type="dxa" w:w="100"/>
              <w:bottom w:type="dxa" w:w="55"/>
              <w:right w:type="dxa" w:w="100"/>
            </w:tcMar>
            <w:vAlign w:val="top"/>
          </w:tcPr>
          <w:p>
            <w:pPr>
              <w:spacing w:after="0" w:line="232"/>
            </w:pPr>
            <w:r>
              <w:rPr>
                <w:rFonts w:ascii="Consolas" w:cs="Consolas" w:eastAsia="Consolas" w:hAnsi="Consolas"/>
                <w:color w:val="9A2617"/>
                <w:sz w:val="16"/>
                <w:szCs w:val="16"/>
              </w:rPr>
              <w:t xml:space="preserve">empty</w:t>
            </w:r>
          </w:p>
        </w:tc>
        <w:tc>
          <w:tcPr>
            <w:tcW w:type="dxa" w:w="1500"/>
            <w:tcMar>
              <w:top w:type="dxa" w:w="55"/>
              <w:left w:type="dxa" w:w="100"/>
              <w:bottom w:type="dxa" w:w="55"/>
              <w:right w:type="dxa" w:w="100"/>
            </w:tcMar>
            <w:vAlign w:val="center"/>
          </w:tcPr>
          <w:p>
            <w:pPr>
              <w:spacing w:after="0" w:line="232"/>
              <w:jc w:val="center"/>
            </w:pPr>
            <w:r>
              <w:rPr>
                <w:rFonts w:ascii="Consolas" w:cs="Consolas" w:eastAsia="Consolas" w:hAnsi="Consolas"/>
                <w:color w:val="9A2617"/>
                <w:sz w:val="16"/>
                <w:szCs w:val="16"/>
              </w:rPr>
              <w:t xml:space="preserve">{0}</w:t>
            </w:r>
          </w:p>
        </w:tc>
        <w:tc>
          <w:tcPr>
            <w:tcW w:type="dxa" w:w="5826"/>
            <w:tcMar>
              <w:top w:type="dxa" w:w="55"/>
              <w:left w:type="dxa" w:w="100"/>
              <w:bottom w:type="dxa" w:w="55"/>
              <w:right w:type="dxa" w:w="100"/>
            </w:tcMar>
            <w:vAlign w:val="top"/>
          </w:tcPr>
          <w:p>
            <w:pPr>
              <w:spacing w:after="0" w:line="232"/>
            </w:pPr>
            <w:r>
              <w:rPr>
                <w:rFonts w:ascii="Calibri" w:cs="Calibri" w:eastAsia="Calibri" w:hAnsi="Calibri"/>
                <w:sz w:val="19"/>
                <w:szCs w:val="19"/>
              </w:rPr>
              <w:t xml:space="preserve">The most important boundary — confirms the FIFO actually reaches fully drained, not just “low.”</w:t>
            </w:r>
          </w:p>
        </w:tc>
      </w:tr>
      <w:tr>
        <w:trPr>
          <w:cantSplit/>
        </w:trPr>
        <w:tc>
          <w:tcPr>
            <w:tcW w:type="dxa" w:w="1700"/>
            <w:shd w:fill="F4F6FA" w:color="auto" w:val="clear"/>
            <w:tcMar>
              <w:top w:type="dxa" w:w="55"/>
              <w:left w:type="dxa" w:w="100"/>
              <w:bottom w:type="dxa" w:w="55"/>
              <w:right w:type="dxa" w:w="100"/>
            </w:tcMar>
            <w:vAlign w:val="top"/>
          </w:tcPr>
          <w:p>
            <w:pPr>
              <w:spacing w:after="0" w:line="232"/>
            </w:pPr>
            <w:r>
              <w:rPr>
                <w:rFonts w:ascii="Consolas" w:cs="Consolas" w:eastAsia="Consolas" w:hAnsi="Consolas"/>
                <w:color w:val="9A2617"/>
                <w:sz w:val="16"/>
                <w:szCs w:val="16"/>
              </w:rPr>
              <w:t xml:space="preserve">almost_​empty</w:t>
            </w:r>
          </w:p>
        </w:tc>
        <w:tc>
          <w:tcPr>
            <w:tcW w:type="dxa" w:w="1500"/>
            <w:shd w:fill="F4F6FA" w:color="auto" w:val="clear"/>
            <w:tcMar>
              <w:top w:type="dxa" w:w="55"/>
              <w:left w:type="dxa" w:w="100"/>
              <w:bottom w:type="dxa" w:w="55"/>
              <w:right w:type="dxa" w:w="100"/>
            </w:tcMar>
            <w:vAlign w:val="center"/>
          </w:tcPr>
          <w:p>
            <w:pPr>
              <w:spacing w:after="0" w:line="232"/>
              <w:jc w:val="center"/>
            </w:pPr>
            <w:r>
              <w:rPr>
                <w:rFonts w:ascii="Consolas" w:cs="Consolas" w:eastAsia="Consolas" w:hAnsi="Consolas"/>
                <w:color w:val="9A2617"/>
                <w:sz w:val="16"/>
                <w:szCs w:val="16"/>
              </w:rPr>
              <w:t xml:space="preserve">{1}</w:t>
            </w:r>
          </w:p>
        </w:tc>
        <w:tc>
          <w:tcPr>
            <w:tcW w:type="dxa" w:w="5826"/>
            <w:shd w:fill="F4F6FA" w:color="auto" w:val="clear"/>
            <w:tcMar>
              <w:top w:type="dxa" w:w="55"/>
              <w:left w:type="dxa" w:w="100"/>
              <w:bottom w:type="dxa" w:w="55"/>
              <w:right w:type="dxa" w:w="100"/>
            </w:tcMar>
            <w:vAlign w:val="top"/>
          </w:tcPr>
          <w:p>
            <w:pPr>
              <w:spacing w:after="0" w:line="232"/>
            </w:pPr>
            <w:r>
              <w:rPr>
                <w:rFonts w:ascii="Calibri" w:cs="Calibri" w:eastAsia="Calibri" w:hAnsi="Calibri"/>
                <w:sz w:val="19"/>
                <w:szCs w:val="19"/>
              </w:rPr>
              <w:t xml:space="preserve">One entry — boundary-</w:t>
            </w:r>
            <w:r>
              <w:rPr>
                <w:rFonts w:ascii="Calibri" w:cs="Calibri" w:eastAsia="Calibri" w:hAnsi="Calibri"/>
                <w:i/>
                <w:iCs/>
                <w:sz w:val="19"/>
                <w:szCs w:val="19"/>
              </w:rPr>
              <w:t xml:space="preserve">adjacent</w:t>
            </w:r>
            <w:r>
              <w:rPr>
                <w:rFonts w:ascii="Calibri" w:cs="Calibri" w:eastAsia="Calibri" w:hAnsi="Calibri"/>
                <w:sz w:val="19"/>
                <w:szCs w:val="19"/>
              </w:rPr>
              <w:t xml:space="preserve">. Off-by-one bugs love to hide right next to the true boundary rather than at it.</w:t>
            </w:r>
          </w:p>
        </w:tc>
      </w:tr>
      <w:tr>
        <w:trPr>
          <w:cantSplit/>
        </w:trPr>
        <w:tc>
          <w:tcPr>
            <w:tcW w:type="dxa" w:w="1700"/>
            <w:tcMar>
              <w:top w:type="dxa" w:w="55"/>
              <w:left w:type="dxa" w:w="100"/>
              <w:bottom w:type="dxa" w:w="55"/>
              <w:right w:type="dxa" w:w="100"/>
            </w:tcMar>
            <w:vAlign w:val="top"/>
          </w:tcPr>
          <w:p>
            <w:pPr>
              <w:spacing w:after="0" w:line="232"/>
            </w:pPr>
            <w:r>
              <w:rPr>
                <w:rFonts w:ascii="Consolas" w:cs="Consolas" w:eastAsia="Consolas" w:hAnsi="Consolas"/>
                <w:color w:val="9A2617"/>
                <w:sz w:val="16"/>
                <w:szCs w:val="16"/>
              </w:rPr>
              <w:t xml:space="preserve">mid</w:t>
            </w:r>
          </w:p>
        </w:tc>
        <w:tc>
          <w:tcPr>
            <w:tcW w:type="dxa" w:w="1500"/>
            <w:tcMar>
              <w:top w:type="dxa" w:w="55"/>
              <w:left w:type="dxa" w:w="100"/>
              <w:bottom w:type="dxa" w:w="55"/>
              <w:right w:type="dxa" w:w="100"/>
            </w:tcMar>
            <w:vAlign w:val="center"/>
          </w:tcPr>
          <w:p>
            <w:pPr>
              <w:spacing w:after="0" w:line="232"/>
              <w:jc w:val="center"/>
            </w:pPr>
            <w:r>
              <w:rPr>
                <w:rFonts w:ascii="Consolas" w:cs="Consolas" w:eastAsia="Consolas" w:hAnsi="Consolas"/>
                <w:color w:val="9A2617"/>
                <w:sz w:val="16"/>
                <w:szCs w:val="16"/>
              </w:rPr>
              <w:t xml:space="preserve">{[2:6]}</w:t>
            </w:r>
          </w:p>
        </w:tc>
        <w:tc>
          <w:tcPr>
            <w:tcW w:type="dxa" w:w="5826"/>
            <w:tcMar>
              <w:top w:type="dxa" w:w="55"/>
              <w:left w:type="dxa" w:w="100"/>
              <w:bottom w:type="dxa" w:w="55"/>
              <w:right w:type="dxa" w:w="100"/>
            </w:tcMar>
            <w:vAlign w:val="top"/>
          </w:tcPr>
          <w:p>
            <w:pPr>
              <w:spacing w:after="0" w:line="232"/>
            </w:pPr>
            <w:r>
              <w:rPr>
                <w:rFonts w:ascii="Calibri" w:cs="Calibri" w:eastAsia="Calibri" w:hAnsi="Calibri"/>
                <w:sz w:val="19"/>
                <w:szCs w:val="19"/>
              </w:rPr>
              <w:t xml:space="preserve">Comfortable middle ground — general functional confidence, not a specific edge.</w:t>
            </w:r>
          </w:p>
        </w:tc>
      </w:tr>
      <w:tr>
        <w:trPr>
          <w:cantSplit/>
        </w:trPr>
        <w:tc>
          <w:tcPr>
            <w:tcW w:type="dxa" w:w="1700"/>
            <w:shd w:fill="F4F6FA" w:color="auto" w:val="clear"/>
            <w:tcMar>
              <w:top w:type="dxa" w:w="55"/>
              <w:left w:type="dxa" w:w="100"/>
              <w:bottom w:type="dxa" w:w="55"/>
              <w:right w:type="dxa" w:w="100"/>
            </w:tcMar>
            <w:vAlign w:val="top"/>
          </w:tcPr>
          <w:p>
            <w:pPr>
              <w:spacing w:after="0" w:line="232"/>
            </w:pPr>
            <w:r>
              <w:rPr>
                <w:rFonts w:ascii="Consolas" w:cs="Consolas" w:eastAsia="Consolas" w:hAnsi="Consolas"/>
                <w:color w:val="9A2617"/>
                <w:sz w:val="16"/>
                <w:szCs w:val="16"/>
              </w:rPr>
              <w:t xml:space="preserve">almost_​full</w:t>
            </w:r>
          </w:p>
        </w:tc>
        <w:tc>
          <w:tcPr>
            <w:tcW w:type="dxa" w:w="1500"/>
            <w:shd w:fill="F4F6FA" w:color="auto" w:val="clear"/>
            <w:tcMar>
              <w:top w:type="dxa" w:w="55"/>
              <w:left w:type="dxa" w:w="100"/>
              <w:bottom w:type="dxa" w:w="55"/>
              <w:right w:type="dxa" w:w="100"/>
            </w:tcMar>
            <w:vAlign w:val="center"/>
          </w:tcPr>
          <w:p>
            <w:pPr>
              <w:spacing w:after="0" w:line="232"/>
              <w:jc w:val="center"/>
            </w:pPr>
            <w:r>
              <w:rPr>
                <w:rFonts w:ascii="Consolas" w:cs="Consolas" w:eastAsia="Consolas" w:hAnsi="Consolas"/>
                <w:color w:val="9A2617"/>
                <w:sz w:val="16"/>
                <w:szCs w:val="16"/>
              </w:rPr>
              <w:t xml:space="preserve">{7}</w:t>
            </w:r>
            <w:r>
              <w:rPr>
                <w:rFonts w:ascii="Calibri" w:cs="Calibri" w:eastAsia="Calibri" w:hAnsi="Calibri"/>
                <w:sz w:val="19"/>
                <w:szCs w:val="19"/>
              </w:rPr>
              <w:t xml:space="preserve"> (</w:t>
            </w:r>
            <w:r>
              <w:rPr>
                <w:rFonts w:ascii="Consolas" w:cs="Consolas" w:eastAsia="Consolas" w:hAnsi="Consolas"/>
                <w:color w:val="9A2617"/>
                <w:sz w:val="16"/>
                <w:szCs w:val="16"/>
              </w:rPr>
              <w:t xml:space="preserve">DEPTH-1</w:t>
            </w:r>
            <w:r>
              <w:rPr>
                <w:rFonts w:ascii="Calibri" w:cs="Calibri" w:eastAsia="Calibri" w:hAnsi="Calibri"/>
                <w:sz w:val="19"/>
                <w:szCs w:val="19"/>
              </w:rPr>
              <w:t xml:space="preserve">)</w:t>
            </w:r>
          </w:p>
        </w:tc>
        <w:tc>
          <w:tcPr>
            <w:tcW w:type="dxa" w:w="5826"/>
            <w:shd w:fill="F4F6FA" w:color="auto" w:val="clear"/>
            <w:tcMar>
              <w:top w:type="dxa" w:w="55"/>
              <w:left w:type="dxa" w:w="100"/>
              <w:bottom w:type="dxa" w:w="55"/>
              <w:right w:type="dxa" w:w="100"/>
            </w:tcMar>
            <w:vAlign w:val="top"/>
          </w:tcPr>
          <w:p>
            <w:pPr>
              <w:spacing w:after="0" w:line="232"/>
            </w:pPr>
            <w:r>
              <w:rPr>
                <w:rFonts w:ascii="Calibri" w:cs="Calibri" w:eastAsia="Calibri" w:hAnsi="Calibri"/>
                <w:sz w:val="19"/>
                <w:szCs w:val="19"/>
              </w:rPr>
              <w:t xml:space="preserve">Boundary-adjacent on the other side — same off-by-one reasoning as </w:t>
            </w:r>
            <w:r>
              <w:rPr>
                <w:rFonts w:ascii="Consolas" w:cs="Consolas" w:eastAsia="Consolas" w:hAnsi="Consolas"/>
                <w:color w:val="9A2617"/>
                <w:sz w:val="16"/>
                <w:szCs w:val="16"/>
              </w:rPr>
              <w:t xml:space="preserve">almost_empty</w:t>
            </w:r>
            <w:r>
              <w:rPr>
                <w:rFonts w:ascii="Calibri" w:cs="Calibri" w:eastAsia="Calibri" w:hAnsi="Calibri"/>
                <w:sz w:val="19"/>
                <w:szCs w:val="19"/>
              </w:rPr>
              <w:t xml:space="preserve">.</w:t>
            </w:r>
          </w:p>
        </w:tc>
      </w:tr>
      <w:tr>
        <w:trPr>
          <w:cantSplit/>
        </w:trPr>
        <w:tc>
          <w:tcPr>
            <w:tcW w:type="dxa" w:w="1700"/>
            <w:tcMar>
              <w:top w:type="dxa" w:w="55"/>
              <w:left w:type="dxa" w:w="100"/>
              <w:bottom w:type="dxa" w:w="55"/>
              <w:right w:type="dxa" w:w="100"/>
            </w:tcMar>
            <w:vAlign w:val="top"/>
          </w:tcPr>
          <w:p>
            <w:pPr>
              <w:spacing w:after="0" w:line="232"/>
            </w:pPr>
            <w:r>
              <w:rPr>
                <w:rFonts w:ascii="Consolas" w:cs="Consolas" w:eastAsia="Consolas" w:hAnsi="Consolas"/>
                <w:color w:val="9A2617"/>
                <w:sz w:val="16"/>
                <w:szCs w:val="16"/>
              </w:rPr>
              <w:t xml:space="preserve">full</w:t>
            </w:r>
          </w:p>
        </w:tc>
        <w:tc>
          <w:tcPr>
            <w:tcW w:type="dxa" w:w="1500"/>
            <w:tcMar>
              <w:top w:type="dxa" w:w="55"/>
              <w:left w:type="dxa" w:w="100"/>
              <w:bottom w:type="dxa" w:w="55"/>
              <w:right w:type="dxa" w:w="100"/>
            </w:tcMar>
            <w:vAlign w:val="center"/>
          </w:tcPr>
          <w:p>
            <w:pPr>
              <w:spacing w:after="0" w:line="232"/>
              <w:jc w:val="center"/>
            </w:pPr>
            <w:r>
              <w:rPr>
                <w:rFonts w:ascii="Consolas" w:cs="Consolas" w:eastAsia="Consolas" w:hAnsi="Consolas"/>
                <w:color w:val="9A2617"/>
                <w:sz w:val="16"/>
                <w:szCs w:val="16"/>
              </w:rPr>
              <w:t xml:space="preserve">{8}</w:t>
            </w:r>
            <w:r>
              <w:rPr>
                <w:rFonts w:ascii="Calibri" w:cs="Calibri" w:eastAsia="Calibri" w:hAnsi="Calibri"/>
                <w:sz w:val="19"/>
                <w:szCs w:val="19"/>
              </w:rPr>
              <w:t xml:space="preserve"> (</w:t>
            </w:r>
            <w:r>
              <w:rPr>
                <w:rFonts w:ascii="Consolas" w:cs="Consolas" w:eastAsia="Consolas" w:hAnsi="Consolas"/>
                <w:color w:val="9A2617"/>
                <w:sz w:val="16"/>
                <w:szCs w:val="16"/>
              </w:rPr>
              <w:t xml:space="preserve">DEPTH</w:t>
            </w:r>
            <w:r>
              <w:rPr>
                <w:rFonts w:ascii="Calibri" w:cs="Calibri" w:eastAsia="Calibri" w:hAnsi="Calibri"/>
                <w:sz w:val="19"/>
                <w:szCs w:val="19"/>
              </w:rPr>
              <w:t xml:space="preserve">)</w:t>
            </w:r>
          </w:p>
        </w:tc>
        <w:tc>
          <w:tcPr>
            <w:tcW w:type="dxa" w:w="5826"/>
            <w:tcMar>
              <w:top w:type="dxa" w:w="55"/>
              <w:left w:type="dxa" w:w="100"/>
              <w:bottom w:type="dxa" w:w="55"/>
              <w:right w:type="dxa" w:w="100"/>
            </w:tcMar>
            <w:vAlign w:val="top"/>
          </w:tcPr>
          <w:p>
            <w:pPr>
              <w:spacing w:after="0" w:line="232"/>
            </w:pPr>
            <w:r>
              <w:rPr>
                <w:rFonts w:ascii="Calibri" w:cs="Calibri" w:eastAsia="Calibri" w:hAnsi="Calibri"/>
                <w:sz w:val="19"/>
                <w:szCs w:val="19"/>
              </w:rPr>
              <w:t xml:space="preserve">The other critical boundary — confirms the FIFO actually reaches completely full, not just “high.”</w:t>
            </w:r>
          </w:p>
        </w:tc>
      </w:tr>
    </w:tbl>
    <w:p>
      <w:pPr>
        <w:spacing w:after="170"/>
      </w:pPr>
    </w:p>
    <w:p>
      <w:pPr>
        <w:spacing w:after="140" w:line="268"/>
      </w:pPr>
      <w:r>
        <w:rPr>
          <w:rFonts w:ascii="Calibri" w:cs="Calibri" w:eastAsia="Calibri" w:hAnsi="Calibri"/>
          <w:sz w:val="21"/>
          <w:szCs w:val="21"/>
        </w:rPr>
        <w:t xml:space="preserve">Five bins instead of the minimal three (</w:t>
      </w:r>
      <w:r>
        <w:rPr>
          <w:rFonts w:ascii="Consolas" w:cs="Consolas" w:eastAsia="Consolas" w:hAnsi="Consolas"/>
          <w:color w:val="9A2617"/>
          <w:sz w:val="18"/>
          <w:szCs w:val="18"/>
        </w:rPr>
        <w:t xml:space="preserve">empty</w:t>
      </w:r>
      <w:r>
        <w:rPr>
          <w:rFonts w:ascii="Calibri" w:cs="Calibri" w:eastAsia="Calibri" w:hAnsi="Calibri"/>
          <w:sz w:val="21"/>
          <w:szCs w:val="21"/>
        </w:rPr>
        <w:t xml:space="preserve">/</w:t>
      </w:r>
      <w:r>
        <w:rPr>
          <w:rFonts w:ascii="Consolas" w:cs="Consolas" w:eastAsia="Consolas" w:hAnsi="Consolas"/>
          <w:color w:val="9A2617"/>
          <w:sz w:val="18"/>
          <w:szCs w:val="18"/>
        </w:rPr>
        <w:t xml:space="preserve">mid</w:t>
      </w:r>
      <w:r>
        <w:rPr>
          <w:rFonts w:ascii="Calibri" w:cs="Calibri" w:eastAsia="Calibri" w:hAnsi="Calibri"/>
          <w:sz w:val="21"/>
          <w:szCs w:val="21"/>
        </w:rPr>
        <w:t xml:space="preserve">/</w:t>
      </w:r>
      <w:r>
        <w:rPr>
          <w:rFonts w:ascii="Consolas" w:cs="Consolas" w:eastAsia="Consolas" w:hAnsi="Consolas"/>
          <w:color w:val="9A2617"/>
          <w:sz w:val="18"/>
          <w:szCs w:val="18"/>
        </w:rPr>
        <w:t xml:space="preserve">full</w:t>
      </w:r>
      <w:r>
        <w:rPr>
          <w:rFonts w:ascii="Calibri" w:cs="Calibri" w:eastAsia="Calibri" w:hAnsi="Calibri"/>
          <w:sz w:val="21"/>
          <w:szCs w:val="21"/>
        </w:rPr>
        <w:t xml:space="preserve">) specifically because the two adjacent-to-boundary bins (</w:t>
      </w:r>
      <w:r>
        <w:rPr>
          <w:rFonts w:ascii="Consolas" w:cs="Consolas" w:eastAsia="Consolas" w:hAnsi="Consolas"/>
          <w:color w:val="9A2617"/>
          <w:sz w:val="18"/>
          <w:szCs w:val="18"/>
        </w:rPr>
        <w:t xml:space="preserve">1</w:t>
      </w:r>
      <w:r>
        <w:rPr>
          <w:rFonts w:ascii="Calibri" w:cs="Calibri" w:eastAsia="Calibri" w:hAnsi="Calibri"/>
          <w:sz w:val="21"/>
          <w:szCs w:val="21"/>
        </w:rPr>
        <w:t xml:space="preserve"> and </w:t>
      </w:r>
      <w:r>
        <w:rPr>
          <w:rFonts w:ascii="Consolas" w:cs="Consolas" w:eastAsia="Consolas" w:hAnsi="Consolas"/>
          <w:color w:val="9A2617"/>
          <w:sz w:val="18"/>
          <w:szCs w:val="18"/>
        </w:rPr>
        <w:t xml:space="preserve">DEPTH-1</w:t>
      </w:r>
      <w:r>
        <w:rPr>
          <w:rFonts w:ascii="Calibri" w:cs="Calibri" w:eastAsia="Calibri" w:hAnsi="Calibri"/>
          <w:sz w:val="21"/>
          <w:szCs w:val="21"/>
        </w:rPr>
        <w:t xml:space="preserve">) are exactly where an off-by-one bug (like </w:t>
      </w:r>
      <w:r>
        <w:rPr>
          <w:rFonts w:ascii="Consolas" w:cs="Consolas" w:eastAsia="Consolas" w:hAnsi="Consolas"/>
          <w:color w:val="9A2617"/>
          <w:sz w:val="18"/>
          <w:szCs w:val="18"/>
        </w:rPr>
        <w:t xml:space="preserve">ISSUE-D5-02</w:t>
      </w:r>
      <w:r>
        <w:rPr>
          <w:rFonts w:ascii="Calibri" w:cs="Calibri" w:eastAsia="Calibri" w:hAnsi="Calibri"/>
          <w:sz w:val="21"/>
          <w:szCs w:val="21"/>
        </w:rPr>
        <w:t xml:space="preserve"> on the Traffic Light) would be most likely to hide undetected if only the exact boundary values were checked.</w:t>
      </w:r>
    </w:p>
    <w:p>
      <w:pPr>
        <w:pStyle w:val="Heading1"/>
        <w:spacing w:after="110" w:before="260"/>
      </w:pPr>
      <w:r>
        <w:rPr>
          <w:rFonts w:ascii="Calibri" w:cs="Calibri" w:eastAsia="Calibri" w:hAnsi="Calibri"/>
          <w:b/>
          <w:bCs/>
          <w:sz w:val="21"/>
          <w:szCs w:val="21"/>
        </w:rPr>
        <w:t xml:space="preserve">Item 3 — Cross Coverage: wr_en × rd_en (FIFO)</w:t>
      </w:r>
    </w:p>
    <w:p>
      <w:pPr>
        <w:spacing w:after="150" w:line="268"/>
      </w:pPr>
      <w:r>
        <w:rPr>
          <w:rFonts w:ascii="Consolas" w:cs="Consolas" w:eastAsia="Consolas" w:hAnsi="Consolas"/>
          <w:b/>
          <w:bCs/>
          <w:color w:val="9A2617"/>
          <w:sz w:val="18"/>
          <w:szCs w:val="18"/>
        </w:rPr>
        <w:t xml:space="preserve">cross wr_en, rd_en</w:t>
      </w:r>
      <w:r>
        <w:rPr>
          <w:rFonts w:ascii="Calibri" w:cs="Calibri" w:eastAsia="Calibri" w:hAnsi="Calibri"/>
          <w:sz w:val="21"/>
          <w:szCs w:val="21"/>
        </w:rPr>
        <w:t xml:space="preserve"> — 4 bins:</w:t>
      </w:r>
    </w:p>
    <w:tbl>
      <w:tblPr>
        <w:tblW w:type="dxa" w:w="9026"/>
        <w:tblBorders>
          <w:top w:val="single" w:color="7F7F7F" w:sz="6"/>
          <w:left w:val="single" w:color="7F7F7F" w:sz="6"/>
          <w:bottom w:val="single" w:color="7F7F7F" w:sz="6"/>
          <w:right w:val="single" w:color="7F7F7F" w:sz="6"/>
          <w:insideH w:val="single" w:color="B0B0B0" w:sz="4"/>
          <w:insideV w:val="single" w:color="B0B0B0" w:sz="4"/>
        </w:tblBorders>
      </w:tblPr>
      <w:tblGrid>
        <w:gridCol w:w="1700"/>
        <w:gridCol w:w="950"/>
        <w:gridCol w:w="950"/>
        <w:gridCol w:w="5426"/>
      </w:tblGrid>
      <w:tr>
        <w:trPr>
          <w:tblHeader/>
        </w:trPr>
        <w:tc>
          <w:tcPr>
            <w:tcW w:type="dxa" w:w="1700"/>
            <w:shd w:fill="DDE5F0" w:color="auto" w:val="clear"/>
            <w:tcMar>
              <w:top w:type="dxa" w:w="55"/>
              <w:left w:type="dxa" w:w="100"/>
              <w:bottom w:type="dxa" w:w="55"/>
              <w:right w:type="dxa" w:w="100"/>
            </w:tcMar>
            <w:vAlign w:val="center"/>
          </w:tcPr>
          <w:p>
            <w:pPr>
              <w:spacing w:after="0" w:line="232"/>
              <w:jc w:val="center"/>
            </w:pPr>
            <w:r>
              <w:rPr>
                <w:rFonts w:ascii="Calibri" w:cs="Calibri" w:eastAsia="Calibri" w:hAnsi="Calibri"/>
                <w:b/>
                <w:bCs/>
                <w:sz w:val="19"/>
                <w:szCs w:val="19"/>
              </w:rPr>
              <w:t xml:space="preserve">Bin</w:t>
            </w:r>
          </w:p>
        </w:tc>
        <w:tc>
          <w:tcPr>
            <w:tcW w:type="dxa" w:w="950"/>
            <w:shd w:fill="DDE5F0" w:color="auto" w:val="clear"/>
            <w:tcMar>
              <w:top w:type="dxa" w:w="55"/>
              <w:left w:type="dxa" w:w="100"/>
              <w:bottom w:type="dxa" w:w="55"/>
              <w:right w:type="dxa" w:w="100"/>
            </w:tcMar>
            <w:vAlign w:val="center"/>
          </w:tcPr>
          <w:p>
            <w:pPr>
              <w:spacing w:after="0" w:line="232"/>
              <w:jc w:val="center"/>
            </w:pPr>
            <w:r>
              <w:rPr>
                <w:rFonts w:ascii="Consolas" w:cs="Consolas" w:eastAsia="Consolas" w:hAnsi="Consolas"/>
                <w:b/>
                <w:bCs/>
                <w:color w:val="9A2617"/>
                <w:sz w:val="16"/>
                <w:szCs w:val="16"/>
              </w:rPr>
              <w:t xml:space="preserve">wr_en</w:t>
            </w:r>
          </w:p>
        </w:tc>
        <w:tc>
          <w:tcPr>
            <w:tcW w:type="dxa" w:w="950"/>
            <w:shd w:fill="DDE5F0" w:color="auto" w:val="clear"/>
            <w:tcMar>
              <w:top w:type="dxa" w:w="55"/>
              <w:left w:type="dxa" w:w="100"/>
              <w:bottom w:type="dxa" w:w="55"/>
              <w:right w:type="dxa" w:w="100"/>
            </w:tcMar>
            <w:vAlign w:val="center"/>
          </w:tcPr>
          <w:p>
            <w:pPr>
              <w:spacing w:after="0" w:line="232"/>
              <w:jc w:val="center"/>
            </w:pPr>
            <w:r>
              <w:rPr>
                <w:rFonts w:ascii="Consolas" w:cs="Consolas" w:eastAsia="Consolas" w:hAnsi="Consolas"/>
                <w:b/>
                <w:bCs/>
                <w:color w:val="9A2617"/>
                <w:sz w:val="16"/>
                <w:szCs w:val="16"/>
              </w:rPr>
              <w:t xml:space="preserve">rd_en</w:t>
            </w:r>
          </w:p>
        </w:tc>
        <w:tc>
          <w:tcPr>
            <w:tcW w:type="dxa" w:w="5426"/>
            <w:shd w:fill="DDE5F0" w:color="auto" w:val="clear"/>
            <w:tcMar>
              <w:top w:type="dxa" w:w="55"/>
              <w:left w:type="dxa" w:w="100"/>
              <w:bottom w:type="dxa" w:w="55"/>
              <w:right w:type="dxa" w:w="100"/>
            </w:tcMar>
            <w:vAlign w:val="center"/>
          </w:tcPr>
          <w:p>
            <w:pPr>
              <w:spacing w:after="0" w:line="232"/>
              <w:jc w:val="center"/>
            </w:pPr>
            <w:r>
              <w:rPr>
                <w:rFonts w:ascii="Calibri" w:cs="Calibri" w:eastAsia="Calibri" w:hAnsi="Calibri"/>
                <w:b/>
                <w:bCs/>
                <w:sz w:val="19"/>
                <w:szCs w:val="19"/>
              </w:rPr>
              <w:t xml:space="preserve">Why it matters</w:t>
            </w:r>
          </w:p>
        </w:tc>
      </w:tr>
      <w:tr>
        <w:trPr>
          <w:cantSplit/>
        </w:trPr>
        <w:tc>
          <w:tcPr>
            <w:tcW w:type="dxa" w:w="1700"/>
            <w:tcMar>
              <w:top w:type="dxa" w:w="55"/>
              <w:left w:type="dxa" w:w="100"/>
              <w:bottom w:type="dxa" w:w="55"/>
              <w:right w:type="dxa" w:w="100"/>
            </w:tcMar>
            <w:vAlign w:val="top"/>
          </w:tcPr>
          <w:p>
            <w:pPr>
              <w:spacing w:after="0" w:line="232"/>
            </w:pPr>
            <w:r>
              <w:rPr>
                <w:rFonts w:ascii="Consolas" w:cs="Consolas" w:eastAsia="Consolas" w:hAnsi="Consolas"/>
                <w:color w:val="9A2617"/>
                <w:sz w:val="16"/>
                <w:szCs w:val="16"/>
              </w:rPr>
              <w:t xml:space="preserve">both_​idle</w:t>
            </w:r>
          </w:p>
        </w:tc>
        <w:tc>
          <w:tcPr>
            <w:tcW w:type="dxa" w:w="950"/>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0</w:t>
            </w:r>
          </w:p>
        </w:tc>
        <w:tc>
          <w:tcPr>
            <w:tcW w:type="dxa" w:w="950"/>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0</w:t>
            </w:r>
          </w:p>
        </w:tc>
        <w:tc>
          <w:tcPr>
            <w:tcW w:type="dxa" w:w="5426"/>
            <w:tcMar>
              <w:top w:type="dxa" w:w="55"/>
              <w:left w:type="dxa" w:w="100"/>
              <w:bottom w:type="dxa" w:w="55"/>
              <w:right w:type="dxa" w:w="100"/>
            </w:tcMar>
            <w:vAlign w:val="top"/>
          </w:tcPr>
          <w:p>
            <w:pPr>
              <w:spacing w:after="0" w:line="232"/>
            </w:pPr>
            <w:r>
              <w:rPr>
                <w:rFonts w:ascii="Calibri" w:cs="Calibri" w:eastAsia="Calibri" w:hAnsi="Calibri"/>
                <w:sz w:val="19"/>
                <w:szCs w:val="19"/>
              </w:rPr>
              <w:t xml:space="preserve">Confirms the FIFO correctly holds steady when nothing is requested — the “do nothing” default branch must actually be exercised, not just assumed safe.</w:t>
            </w:r>
          </w:p>
        </w:tc>
      </w:tr>
      <w:tr>
        <w:trPr>
          <w:cantSplit/>
        </w:trPr>
        <w:tc>
          <w:tcPr>
            <w:tcW w:type="dxa" w:w="1700"/>
            <w:shd w:fill="F4F6FA" w:color="auto" w:val="clear"/>
            <w:tcMar>
              <w:top w:type="dxa" w:w="55"/>
              <w:left w:type="dxa" w:w="100"/>
              <w:bottom w:type="dxa" w:w="55"/>
              <w:right w:type="dxa" w:w="100"/>
            </w:tcMar>
            <w:vAlign w:val="top"/>
          </w:tcPr>
          <w:p>
            <w:pPr>
              <w:spacing w:after="0" w:line="232"/>
            </w:pPr>
            <w:r>
              <w:rPr>
                <w:rFonts w:ascii="Consolas" w:cs="Consolas" w:eastAsia="Consolas" w:hAnsi="Consolas"/>
                <w:color w:val="9A2617"/>
                <w:sz w:val="16"/>
                <w:szCs w:val="16"/>
              </w:rPr>
              <w:t xml:space="preserve">write_​only</w:t>
            </w:r>
          </w:p>
        </w:tc>
        <w:tc>
          <w:tcPr>
            <w:tcW w:type="dxa" w:w="950"/>
            <w:shd w:fill="F4F6FA" w:color="auto" w:val="clear"/>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1</w:t>
            </w:r>
          </w:p>
        </w:tc>
        <w:tc>
          <w:tcPr>
            <w:tcW w:type="dxa" w:w="950"/>
            <w:shd w:fill="F4F6FA" w:color="auto" w:val="clear"/>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0</w:t>
            </w:r>
          </w:p>
        </w:tc>
        <w:tc>
          <w:tcPr>
            <w:tcW w:type="dxa" w:w="5426"/>
            <w:shd w:fill="F4F6FA" w:color="auto" w:val="clear"/>
            <w:tcMar>
              <w:top w:type="dxa" w:w="55"/>
              <w:left w:type="dxa" w:w="100"/>
              <w:bottom w:type="dxa" w:w="55"/>
              <w:right w:type="dxa" w:w="100"/>
            </w:tcMar>
            <w:vAlign w:val="top"/>
          </w:tcPr>
          <w:p>
            <w:pPr>
              <w:spacing w:after="0" w:line="232"/>
            </w:pPr>
            <w:r>
              <w:rPr>
                <w:rFonts w:ascii="Calibri" w:cs="Calibri" w:eastAsia="Calibri" w:hAnsi="Calibri"/>
                <w:sz w:val="19"/>
                <w:szCs w:val="19"/>
              </w:rPr>
              <w:t xml:space="preserve">Core write path in isolation.</w:t>
            </w:r>
          </w:p>
        </w:tc>
      </w:tr>
      <w:tr>
        <w:trPr>
          <w:cantSplit/>
        </w:trPr>
        <w:tc>
          <w:tcPr>
            <w:tcW w:type="dxa" w:w="1700"/>
            <w:tcMar>
              <w:top w:type="dxa" w:w="55"/>
              <w:left w:type="dxa" w:w="100"/>
              <w:bottom w:type="dxa" w:w="55"/>
              <w:right w:type="dxa" w:w="100"/>
            </w:tcMar>
            <w:vAlign w:val="top"/>
          </w:tcPr>
          <w:p>
            <w:pPr>
              <w:spacing w:after="0" w:line="232"/>
            </w:pPr>
            <w:r>
              <w:rPr>
                <w:rFonts w:ascii="Consolas" w:cs="Consolas" w:eastAsia="Consolas" w:hAnsi="Consolas"/>
                <w:color w:val="9A2617"/>
                <w:sz w:val="16"/>
                <w:szCs w:val="16"/>
              </w:rPr>
              <w:t xml:space="preserve">read_​only</w:t>
            </w:r>
          </w:p>
        </w:tc>
        <w:tc>
          <w:tcPr>
            <w:tcW w:type="dxa" w:w="950"/>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0</w:t>
            </w:r>
          </w:p>
        </w:tc>
        <w:tc>
          <w:tcPr>
            <w:tcW w:type="dxa" w:w="950"/>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1</w:t>
            </w:r>
          </w:p>
        </w:tc>
        <w:tc>
          <w:tcPr>
            <w:tcW w:type="dxa" w:w="5426"/>
            <w:tcMar>
              <w:top w:type="dxa" w:w="55"/>
              <w:left w:type="dxa" w:w="100"/>
              <w:bottom w:type="dxa" w:w="55"/>
              <w:right w:type="dxa" w:w="100"/>
            </w:tcMar>
            <w:vAlign w:val="top"/>
          </w:tcPr>
          <w:p>
            <w:pPr>
              <w:spacing w:after="0" w:line="232"/>
            </w:pPr>
            <w:r>
              <w:rPr>
                <w:rFonts w:ascii="Calibri" w:cs="Calibri" w:eastAsia="Calibri" w:hAnsi="Calibri"/>
                <w:sz w:val="19"/>
                <w:szCs w:val="19"/>
              </w:rPr>
              <w:t xml:space="preserve">Core read path in isolation.</w:t>
            </w:r>
          </w:p>
        </w:tc>
      </w:tr>
      <w:tr>
        <w:trPr>
          <w:cantSplit/>
        </w:trPr>
        <w:tc>
          <w:tcPr>
            <w:tcW w:type="dxa" w:w="1700"/>
            <w:shd w:fill="F4F6FA" w:color="auto" w:val="clear"/>
            <w:tcMar>
              <w:top w:type="dxa" w:w="55"/>
              <w:left w:type="dxa" w:w="100"/>
              <w:bottom w:type="dxa" w:w="55"/>
              <w:right w:type="dxa" w:w="100"/>
            </w:tcMar>
            <w:vAlign w:val="top"/>
          </w:tcPr>
          <w:p>
            <w:pPr>
              <w:spacing w:after="0" w:line="232"/>
            </w:pPr>
            <w:r>
              <w:rPr>
                <w:rFonts w:ascii="Consolas" w:cs="Consolas" w:eastAsia="Consolas" w:hAnsi="Consolas"/>
                <w:color w:val="9A2617"/>
                <w:sz w:val="16"/>
                <w:szCs w:val="16"/>
              </w:rPr>
              <w:t xml:space="preserve">both</w:t>
            </w:r>
          </w:p>
        </w:tc>
        <w:tc>
          <w:tcPr>
            <w:tcW w:type="dxa" w:w="950"/>
            <w:shd w:fill="F4F6FA" w:color="auto" w:val="clear"/>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1</w:t>
            </w:r>
          </w:p>
        </w:tc>
        <w:tc>
          <w:tcPr>
            <w:tcW w:type="dxa" w:w="950"/>
            <w:shd w:fill="F4F6FA" w:color="auto" w:val="clear"/>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1</w:t>
            </w:r>
          </w:p>
        </w:tc>
        <w:tc>
          <w:tcPr>
            <w:tcW w:type="dxa" w:w="5426"/>
            <w:shd w:fill="F4F6FA" w:color="auto" w:val="clear"/>
            <w:tcMar>
              <w:top w:type="dxa" w:w="55"/>
              <w:left w:type="dxa" w:w="100"/>
              <w:bottom w:type="dxa" w:w="55"/>
              <w:right w:type="dxa" w:w="100"/>
            </w:tcMar>
            <w:vAlign w:val="top"/>
          </w:tcPr>
          <w:p>
            <w:pPr>
              <w:spacing w:after="0" w:line="232"/>
            </w:pPr>
            <w:r>
              <w:rPr>
                <w:rFonts w:ascii="Calibri" w:cs="Calibri" w:eastAsia="Calibri" w:hAnsi="Calibri"/>
                <w:sz w:val="19"/>
                <w:szCs w:val="19"/>
              </w:rPr>
              <w:t xml:space="preserve">The trickiest interaction (</w:t>
            </w:r>
            <w:r>
              <w:rPr>
                <w:rFonts w:ascii="Consolas" w:cs="Consolas" w:eastAsia="Consolas" w:hAnsi="Consolas"/>
                <w:color w:val="9A2617"/>
                <w:sz w:val="16"/>
                <w:szCs w:val="16"/>
              </w:rPr>
              <w:t xml:space="preserve">CORNER_003</w:t>
            </w:r>
            <w:r>
              <w:rPr>
                <w:rFonts w:ascii="Calibri" w:cs="Calibri" w:eastAsia="Calibri" w:hAnsi="Calibri"/>
                <w:sz w:val="19"/>
                <w:szCs w:val="19"/>
              </w:rPr>
              <w:t xml:space="preserve">) — confirms simultaneous access was actually driven, not just handled in code that nothing ever exercises.</w:t>
            </w:r>
          </w:p>
        </w:tc>
      </w:tr>
    </w:tbl>
    <w:p>
      <w:pPr>
        <w:sectPr>
          <w:pgSz w:w="11906" w:h="16838" w:orient="portrait"/>
          <w:pgMar w:top="1080" w:right="1440" w:bottom="1080" w:left="1440" w:header="708" w:footer="708" w:gutter="0"/>
          <w:pgNumType/>
          <w:docGrid w:linePitch="360"/>
        </w:sectPr>
      </w:pPr>
    </w:p>
    <w:p>
      <w:pPr>
        <w:pStyle w:val="Heading1"/>
        <w:spacing w:after="110" w:before="0"/>
      </w:pPr>
      <w:r>
        <w:rPr>
          <w:rFonts w:ascii="Calibri" w:cs="Calibri" w:eastAsia="Calibri" w:hAnsi="Calibri"/>
          <w:b/>
          <w:bCs/>
          <w:sz w:val="21"/>
          <w:szCs w:val="21"/>
        </w:rPr>
        <w:t xml:space="preserve">Item 4 — FIFO Feature Table</w:t>
      </w:r>
    </w:p>
    <w:tbl>
      <w:tblPr>
        <w:tblW w:type="dxa" w:w="13958"/>
        <w:tblBorders>
          <w:top w:val="single" w:color="7F7F7F" w:sz="6"/>
          <w:left w:val="single" w:color="7F7F7F" w:sz="6"/>
          <w:bottom w:val="single" w:color="7F7F7F" w:sz="6"/>
          <w:right w:val="single" w:color="7F7F7F" w:sz="6"/>
          <w:insideH w:val="single" w:color="B0B0B0" w:sz="4"/>
          <w:insideV w:val="single" w:color="B0B0B0" w:sz="4"/>
        </w:tblBorders>
      </w:tblPr>
      <w:tblGrid>
        <w:gridCol w:w="2750"/>
        <w:gridCol w:w="1200"/>
        <w:gridCol w:w="1900"/>
        <w:gridCol w:w="1600"/>
        <w:gridCol w:w="800"/>
        <w:gridCol w:w="5708"/>
      </w:tblGrid>
      <w:tr>
        <w:trPr>
          <w:tblHeader/>
        </w:trPr>
        <w:tc>
          <w:tcPr>
            <w:tcW w:type="dxa" w:w="2750"/>
            <w:shd w:fill="DDE5F0" w:color="auto" w:val="clear"/>
            <w:tcMar>
              <w:top w:type="dxa" w:w="55"/>
              <w:left w:type="dxa" w:w="100"/>
              <w:bottom w:type="dxa" w:w="55"/>
              <w:right w:type="dxa" w:w="100"/>
            </w:tcMar>
            <w:vAlign w:val="center"/>
          </w:tcPr>
          <w:p>
            <w:pPr>
              <w:spacing w:after="0" w:line="232"/>
              <w:jc w:val="center"/>
            </w:pPr>
            <w:r>
              <w:rPr>
                <w:rFonts w:ascii="Calibri" w:cs="Calibri" w:eastAsia="Calibri" w:hAnsi="Calibri"/>
                <w:b/>
                <w:bCs/>
                <w:sz w:val="19"/>
                <w:szCs w:val="19"/>
              </w:rPr>
              <w:t xml:space="preserve">Feature</w:t>
            </w:r>
          </w:p>
        </w:tc>
        <w:tc>
          <w:tcPr>
            <w:tcW w:type="dxa" w:w="1200"/>
            <w:shd w:fill="DDE5F0" w:color="auto" w:val="clear"/>
            <w:tcMar>
              <w:top w:type="dxa" w:w="55"/>
              <w:left w:type="dxa" w:w="100"/>
              <w:bottom w:type="dxa" w:w="55"/>
              <w:right w:type="dxa" w:w="100"/>
            </w:tcMar>
            <w:vAlign w:val="center"/>
          </w:tcPr>
          <w:p>
            <w:pPr>
              <w:spacing w:after="0" w:line="232"/>
              <w:jc w:val="center"/>
            </w:pPr>
            <w:r>
              <w:rPr>
                <w:rFonts w:ascii="Calibri" w:cs="Calibri" w:eastAsia="Calibri" w:hAnsi="Calibri"/>
                <w:b/>
                <w:bCs/>
                <w:sz w:val="19"/>
                <w:szCs w:val="19"/>
              </w:rPr>
              <w:t xml:space="preserve">Req-ID</w:t>
            </w:r>
          </w:p>
        </w:tc>
        <w:tc>
          <w:tcPr>
            <w:tcW w:type="dxa" w:w="1900"/>
            <w:shd w:fill="DDE5F0" w:color="auto" w:val="clear"/>
            <w:tcMar>
              <w:top w:type="dxa" w:w="55"/>
              <w:left w:type="dxa" w:w="100"/>
              <w:bottom w:type="dxa" w:w="55"/>
              <w:right w:type="dxa" w:w="100"/>
            </w:tcMar>
            <w:vAlign w:val="center"/>
          </w:tcPr>
          <w:p>
            <w:pPr>
              <w:spacing w:after="0" w:line="232"/>
              <w:jc w:val="center"/>
            </w:pPr>
            <w:r>
              <w:rPr>
                <w:rFonts w:ascii="Calibri" w:cs="Calibri" w:eastAsia="Calibri" w:hAnsi="Calibri"/>
                <w:b/>
                <w:bCs/>
                <w:sz w:val="19"/>
                <w:szCs w:val="19"/>
              </w:rPr>
              <w:t xml:space="preserve">Checker</w:t>
            </w:r>
          </w:p>
        </w:tc>
        <w:tc>
          <w:tcPr>
            <w:tcW w:type="dxa" w:w="1600"/>
            <w:shd w:fill="DDE5F0" w:color="auto" w:val="clear"/>
            <w:tcMar>
              <w:top w:type="dxa" w:w="55"/>
              <w:left w:type="dxa" w:w="100"/>
              <w:bottom w:type="dxa" w:w="55"/>
              <w:right w:type="dxa" w:w="100"/>
            </w:tcMar>
            <w:vAlign w:val="center"/>
          </w:tcPr>
          <w:p>
            <w:pPr>
              <w:spacing w:after="0" w:line="232"/>
              <w:jc w:val="center"/>
            </w:pPr>
            <w:r>
              <w:rPr>
                <w:rFonts w:ascii="Calibri" w:cs="Calibri" w:eastAsia="Calibri" w:hAnsi="Calibri"/>
                <w:b/>
                <w:bCs/>
                <w:sz w:val="19"/>
                <w:szCs w:val="19"/>
              </w:rPr>
              <w:t xml:space="preserve">Stimulus</w:t>
            </w:r>
          </w:p>
        </w:tc>
        <w:tc>
          <w:tcPr>
            <w:tcW w:type="dxa" w:w="800"/>
            <w:shd w:fill="DDE5F0" w:color="auto" w:val="clear"/>
            <w:tcMar>
              <w:top w:type="dxa" w:w="55"/>
              <w:left w:type="dxa" w:w="100"/>
              <w:bottom w:type="dxa" w:w="55"/>
              <w:right w:type="dxa" w:w="100"/>
            </w:tcMar>
            <w:vAlign w:val="center"/>
          </w:tcPr>
          <w:p>
            <w:pPr>
              <w:spacing w:after="0" w:line="232"/>
              <w:jc w:val="center"/>
            </w:pPr>
            <w:r>
              <w:rPr>
                <w:rFonts w:ascii="Calibri" w:cs="Calibri" w:eastAsia="Calibri" w:hAnsi="Calibri"/>
                <w:b/>
                <w:bCs/>
                <w:sz w:val="19"/>
                <w:szCs w:val="19"/>
              </w:rPr>
              <w:t xml:space="preserve">Priority</w:t>
            </w:r>
          </w:p>
        </w:tc>
        <w:tc>
          <w:tcPr>
            <w:tcW w:type="dxa" w:w="5708"/>
            <w:shd w:fill="DDE5F0" w:color="auto" w:val="clear"/>
            <w:tcMar>
              <w:top w:type="dxa" w:w="55"/>
              <w:left w:type="dxa" w:w="100"/>
              <w:bottom w:type="dxa" w:w="55"/>
              <w:right w:type="dxa" w:w="100"/>
            </w:tcMar>
            <w:vAlign w:val="center"/>
          </w:tcPr>
          <w:p>
            <w:pPr>
              <w:spacing w:after="0" w:line="232"/>
              <w:jc w:val="center"/>
            </w:pPr>
            <w:r>
              <w:rPr>
                <w:rFonts w:ascii="Calibri" w:cs="Calibri" w:eastAsia="Calibri" w:hAnsi="Calibri"/>
                <w:b/>
                <w:bCs/>
                <w:sz w:val="19"/>
                <w:szCs w:val="19"/>
              </w:rPr>
              <w:t xml:space="preserve">Coverage Item</w:t>
            </w:r>
          </w:p>
        </w:tc>
      </w:tr>
      <w:tr>
        <w:trPr>
          <w:cantSplit/>
        </w:trPr>
        <w:tc>
          <w:tcPr>
            <w:tcW w:type="dxa" w:w="2750"/>
            <w:tcMar>
              <w:top w:type="dxa" w:w="55"/>
              <w:left w:type="dxa" w:w="100"/>
              <w:bottom w:type="dxa" w:w="55"/>
              <w:right w:type="dxa" w:w="100"/>
            </w:tcMar>
            <w:vAlign w:val="center"/>
          </w:tcPr>
          <w:p>
            <w:pPr>
              <w:spacing w:after="0" w:line="232"/>
            </w:pPr>
            <w:r>
              <w:rPr>
                <w:rFonts w:ascii="Consolas" w:cs="Consolas" w:eastAsia="Consolas" w:hAnsi="Consolas"/>
                <w:color w:val="9A2617"/>
                <w:sz w:val="16"/>
                <w:szCs w:val="16"/>
              </w:rPr>
              <w:t xml:space="preserve">reset_​initializes_​fifo_​to_​empty</w:t>
            </w:r>
          </w:p>
        </w:tc>
        <w:tc>
          <w:tcPr>
            <w:tcW w:type="dxa" w:w="1200"/>
            <w:tcMar>
              <w:top w:type="dxa" w:w="55"/>
              <w:left w:type="dxa" w:w="100"/>
              <w:bottom w:type="dxa" w:w="55"/>
              <w:right w:type="dxa" w:w="100"/>
            </w:tcMar>
            <w:vAlign w:val="center"/>
          </w:tcPr>
          <w:p>
            <w:pPr>
              <w:spacing w:after="0" w:line="232"/>
              <w:jc w:val="center"/>
            </w:pPr>
            <w:r>
              <w:rPr>
                <w:rFonts w:ascii="Consolas" w:cs="Consolas" w:eastAsia="Consolas" w:hAnsi="Consolas"/>
                <w:color w:val="9A2617"/>
                <w:sz w:val="16"/>
                <w:szCs w:val="16"/>
              </w:rPr>
              <w:t xml:space="preserve">RST_001</w:t>
            </w:r>
          </w:p>
        </w:tc>
        <w:tc>
          <w:tcPr>
            <w:tcW w:type="dxa" w:w="1900"/>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Checker w/ expected value</w:t>
            </w:r>
          </w:p>
        </w:tc>
        <w:tc>
          <w:tcPr>
            <w:tcW w:type="dxa" w:w="1600"/>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Directed</w:t>
            </w:r>
          </w:p>
        </w:tc>
        <w:tc>
          <w:tcPr>
            <w:tcW w:type="dxa" w:w="800"/>
            <w:shd w:fill="F7DEDE" w:color="auto" w:val="clear"/>
            <w:tcMar>
              <w:top w:type="dxa" w:w="55"/>
              <w:left w:type="dxa" w:w="50"/>
              <w:bottom w:type="dxa" w:w="55"/>
              <w:right w:type="dxa" w:w="50"/>
            </w:tcMar>
            <w:vAlign w:val="center"/>
          </w:tcPr>
          <w:p>
            <w:pPr>
              <w:spacing w:after="0" w:line="240"/>
              <w:jc w:val="center"/>
            </w:pPr>
            <w:r>
              <w:rPr>
                <w:rFonts w:ascii="Calibri" w:cs="Calibri" w:eastAsia="Calibri" w:hAnsi="Calibri"/>
                <w:b/>
                <w:bCs/>
                <w:color w:val="8A2C2C"/>
                <w:sz w:val="20"/>
                <w:szCs w:val="20"/>
              </w:rPr>
              <w:t xml:space="preserve">P0</w:t>
            </w:r>
          </w:p>
        </w:tc>
        <w:tc>
          <w:tcPr>
            <w:tcW w:type="dxa" w:w="5708"/>
            <w:tcMar>
              <w:top w:type="dxa" w:w="55"/>
              <w:left w:type="dxa" w:w="100"/>
              <w:bottom w:type="dxa" w:w="55"/>
              <w:right w:type="dxa" w:w="100"/>
            </w:tcMar>
            <w:vAlign w:val="top"/>
          </w:tcPr>
          <w:p>
            <w:pPr>
              <w:spacing w:after="0" w:line="232"/>
            </w:pPr>
            <w:r>
              <w:rPr>
                <w:rFonts w:ascii="Calibri" w:cs="Calibri" w:eastAsia="Calibri" w:hAnsi="Calibri"/>
                <w:sz w:val="17"/>
                <w:szCs w:val="17"/>
              </w:rPr>
              <w:t xml:space="preserve">Coverpoint on </w:t>
            </w:r>
            <w:r>
              <w:rPr>
                <w:rFonts w:ascii="Consolas" w:cs="Consolas" w:eastAsia="Consolas" w:hAnsi="Consolas"/>
                <w:color w:val="9A2617"/>
                <w:sz w:val="14"/>
                <w:szCs w:val="14"/>
              </w:rPr>
              <w:t xml:space="preserve">(count, full, empty)</w:t>
            </w:r>
            <w:r>
              <w:rPr>
                <w:rFonts w:ascii="Calibri" w:cs="Calibri" w:eastAsia="Calibri" w:hAnsi="Calibri"/>
                <w:sz w:val="17"/>
                <w:szCs w:val="17"/>
              </w:rPr>
              <w:t xml:space="preserve"> immediately after reset deasserts; bin </w:t>
            </w:r>
            <w:r>
              <w:rPr>
                <w:rFonts w:ascii="Consolas" w:cs="Consolas" w:eastAsia="Consolas" w:hAnsi="Consolas"/>
                <w:color w:val="9A2617"/>
                <w:sz w:val="14"/>
                <w:szCs w:val="14"/>
              </w:rPr>
              <w:t xml:space="preserve">reset_​state = {count==0, full==0, empty==1}</w:t>
            </w:r>
            <w:r>
              <w:rPr>
                <w:rFonts w:ascii="Calibri" w:cs="Calibri" w:eastAsia="Calibri" w:hAnsi="Calibri"/>
                <w:sz w:val="17"/>
                <w:szCs w:val="17"/>
              </w:rPr>
              <w:t xml:space="preserve">.</w:t>
            </w:r>
          </w:p>
        </w:tc>
      </w:tr>
      <w:tr>
        <w:trPr>
          <w:cantSplit/>
        </w:trPr>
        <w:tc>
          <w:tcPr>
            <w:tcW w:type="dxa" w:w="2750"/>
            <w:shd w:fill="F4F6FA" w:color="auto" w:val="clear"/>
            <w:tcMar>
              <w:top w:type="dxa" w:w="55"/>
              <w:left w:type="dxa" w:w="100"/>
              <w:bottom w:type="dxa" w:w="55"/>
              <w:right w:type="dxa" w:w="100"/>
            </w:tcMar>
            <w:vAlign w:val="center"/>
          </w:tcPr>
          <w:p>
            <w:pPr>
              <w:spacing w:after="0" w:line="232"/>
            </w:pPr>
            <w:r>
              <w:rPr>
                <w:rFonts w:ascii="Consolas" w:cs="Consolas" w:eastAsia="Consolas" w:hAnsi="Consolas"/>
                <w:color w:val="9A2617"/>
                <w:sz w:val="16"/>
                <w:szCs w:val="16"/>
              </w:rPr>
              <w:t xml:space="preserve">write_​increments_​count_​and_​stores_​data_​correctly</w:t>
            </w:r>
          </w:p>
        </w:tc>
        <w:tc>
          <w:tcPr>
            <w:tcW w:type="dxa" w:w="1200"/>
            <w:shd w:fill="F4F6FA" w:color="auto" w:val="clear"/>
            <w:tcMar>
              <w:top w:type="dxa" w:w="55"/>
              <w:left w:type="dxa" w:w="100"/>
              <w:bottom w:type="dxa" w:w="55"/>
              <w:right w:type="dxa" w:w="100"/>
            </w:tcMar>
            <w:vAlign w:val="center"/>
          </w:tcPr>
          <w:p>
            <w:pPr>
              <w:spacing w:after="0" w:line="232"/>
              <w:jc w:val="center"/>
            </w:pPr>
            <w:r>
              <w:rPr>
                <w:rFonts w:ascii="Consolas" w:cs="Consolas" w:eastAsia="Consolas" w:hAnsi="Consolas"/>
                <w:color w:val="9A2617"/>
                <w:sz w:val="16"/>
                <w:szCs w:val="16"/>
              </w:rPr>
              <w:t xml:space="preserve">FUNC_001</w:t>
            </w:r>
          </w:p>
        </w:tc>
        <w:tc>
          <w:tcPr>
            <w:tcW w:type="dxa" w:w="1900"/>
            <w:shd w:fill="F4F6FA" w:color="auto" w:val="clear"/>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Scoreboard</w:t>
            </w:r>
          </w:p>
        </w:tc>
        <w:tc>
          <w:tcPr>
            <w:tcW w:type="dxa" w:w="1600"/>
            <w:shd w:fill="F4F6FA" w:color="auto" w:val="clear"/>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Constrained-random</w:t>
            </w:r>
          </w:p>
        </w:tc>
        <w:tc>
          <w:tcPr>
            <w:tcW w:type="dxa" w:w="800"/>
            <w:shd w:fill="F7DEDE" w:color="auto" w:val="clear"/>
            <w:tcMar>
              <w:top w:type="dxa" w:w="55"/>
              <w:left w:type="dxa" w:w="50"/>
              <w:bottom w:type="dxa" w:w="55"/>
              <w:right w:type="dxa" w:w="50"/>
            </w:tcMar>
            <w:vAlign w:val="center"/>
          </w:tcPr>
          <w:p>
            <w:pPr>
              <w:spacing w:after="0" w:line="240"/>
              <w:jc w:val="center"/>
            </w:pPr>
            <w:r>
              <w:rPr>
                <w:rFonts w:ascii="Calibri" w:cs="Calibri" w:eastAsia="Calibri" w:hAnsi="Calibri"/>
                <w:b/>
                <w:bCs/>
                <w:color w:val="8A2C2C"/>
                <w:sz w:val="20"/>
                <w:szCs w:val="20"/>
              </w:rPr>
              <w:t xml:space="preserve">P0</w:t>
            </w:r>
          </w:p>
        </w:tc>
        <w:tc>
          <w:tcPr>
            <w:tcW w:type="dxa" w:w="5708"/>
            <w:shd w:fill="F4F6FA" w:color="auto" w:val="clear"/>
            <w:tcMar>
              <w:top w:type="dxa" w:w="55"/>
              <w:left w:type="dxa" w:w="100"/>
              <w:bottom w:type="dxa" w:w="55"/>
              <w:right w:type="dxa" w:w="100"/>
            </w:tcMar>
            <w:vAlign w:val="top"/>
          </w:tcPr>
          <w:p>
            <w:pPr>
              <w:spacing w:after="0" w:line="232"/>
            </w:pPr>
            <w:r>
              <w:rPr>
                <w:rFonts w:ascii="Calibri" w:cs="Calibri" w:eastAsia="Calibri" w:hAnsi="Calibri"/>
                <w:sz w:val="17"/>
                <w:szCs w:val="17"/>
              </w:rPr>
              <w:t xml:space="preserve">Coverpoint on </w:t>
            </w:r>
            <w:r>
              <w:rPr>
                <w:rFonts w:ascii="Consolas" w:cs="Consolas" w:eastAsia="Consolas" w:hAnsi="Consolas"/>
                <w:color w:val="9A2617"/>
                <w:sz w:val="14"/>
                <w:szCs w:val="14"/>
              </w:rPr>
              <w:t xml:space="preserve">count</w:t>
            </w:r>
            <w:r>
              <w:rPr>
                <w:rFonts w:ascii="Calibri" w:cs="Calibri" w:eastAsia="Calibri" w:hAnsi="Calibri"/>
                <w:sz w:val="17"/>
                <w:szCs w:val="17"/>
              </w:rPr>
              <w:t xml:space="preserve"> during write-only cycles; bin </w:t>
            </w:r>
            <w:r>
              <w:rPr>
                <w:rFonts w:ascii="Consolas" w:cs="Consolas" w:eastAsia="Consolas" w:hAnsi="Consolas"/>
                <w:color w:val="9A2617"/>
                <w:sz w:val="14"/>
                <w:szCs w:val="14"/>
              </w:rPr>
              <w:t xml:space="preserve">write_​progression</w:t>
            </w:r>
            <w:r>
              <w:rPr>
                <w:rFonts w:ascii="Calibri" w:cs="Calibri" w:eastAsia="Calibri" w:hAnsi="Calibri"/>
                <w:sz w:val="17"/>
                <w:szCs w:val="17"/>
              </w:rPr>
              <w:t xml:space="preserve"> = every value 1 through </w:t>
            </w:r>
            <w:r>
              <w:rPr>
                <w:rFonts w:ascii="Consolas" w:cs="Consolas" w:eastAsia="Consolas" w:hAnsi="Consolas"/>
                <w:color w:val="9A2617"/>
                <w:sz w:val="14"/>
                <w:szCs w:val="14"/>
              </w:rPr>
              <w:t xml:space="preserve">DEPTH</w:t>
            </w:r>
            <w:r>
              <w:rPr>
                <w:rFonts w:ascii="Calibri" w:cs="Calibri" w:eastAsia="Calibri" w:hAnsi="Calibri"/>
                <w:sz w:val="17"/>
                <w:szCs w:val="17"/>
              </w:rPr>
              <w:t xml:space="preserve"> reached via a write.</w:t>
            </w:r>
          </w:p>
        </w:tc>
      </w:tr>
      <w:tr>
        <w:trPr>
          <w:cantSplit/>
        </w:trPr>
        <w:tc>
          <w:tcPr>
            <w:tcW w:type="dxa" w:w="2750"/>
            <w:tcMar>
              <w:top w:type="dxa" w:w="55"/>
              <w:left w:type="dxa" w:w="100"/>
              <w:bottom w:type="dxa" w:w="55"/>
              <w:right w:type="dxa" w:w="100"/>
            </w:tcMar>
            <w:vAlign w:val="center"/>
          </w:tcPr>
          <w:p>
            <w:pPr>
              <w:spacing w:after="0" w:line="232"/>
            </w:pPr>
            <w:r>
              <w:rPr>
                <w:rFonts w:ascii="Consolas" w:cs="Consolas" w:eastAsia="Consolas" w:hAnsi="Consolas"/>
                <w:color w:val="9A2617"/>
                <w:sz w:val="16"/>
                <w:szCs w:val="16"/>
              </w:rPr>
              <w:t xml:space="preserve">read_​returns_​data_​in_​fifo_​order</w:t>
            </w:r>
          </w:p>
        </w:tc>
        <w:tc>
          <w:tcPr>
            <w:tcW w:type="dxa" w:w="1200"/>
            <w:tcMar>
              <w:top w:type="dxa" w:w="55"/>
              <w:left w:type="dxa" w:w="100"/>
              <w:bottom w:type="dxa" w:w="55"/>
              <w:right w:type="dxa" w:w="100"/>
            </w:tcMar>
            <w:vAlign w:val="center"/>
          </w:tcPr>
          <w:p>
            <w:pPr>
              <w:spacing w:after="0" w:line="232"/>
              <w:jc w:val="center"/>
            </w:pPr>
            <w:r>
              <w:rPr>
                <w:rFonts w:ascii="Consolas" w:cs="Consolas" w:eastAsia="Consolas" w:hAnsi="Consolas"/>
                <w:color w:val="9A2617"/>
                <w:sz w:val="16"/>
                <w:szCs w:val="16"/>
              </w:rPr>
              <w:t xml:space="preserve">FUNC_002</w:t>
            </w:r>
          </w:p>
        </w:tc>
        <w:tc>
          <w:tcPr>
            <w:tcW w:type="dxa" w:w="1900"/>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Scoreboard</w:t>
            </w:r>
          </w:p>
        </w:tc>
        <w:tc>
          <w:tcPr>
            <w:tcW w:type="dxa" w:w="1600"/>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Constrained-random</w:t>
            </w:r>
          </w:p>
        </w:tc>
        <w:tc>
          <w:tcPr>
            <w:tcW w:type="dxa" w:w="800"/>
            <w:shd w:fill="F7DEDE" w:color="auto" w:val="clear"/>
            <w:tcMar>
              <w:top w:type="dxa" w:w="55"/>
              <w:left w:type="dxa" w:w="50"/>
              <w:bottom w:type="dxa" w:w="55"/>
              <w:right w:type="dxa" w:w="50"/>
            </w:tcMar>
            <w:vAlign w:val="center"/>
          </w:tcPr>
          <w:p>
            <w:pPr>
              <w:spacing w:after="0" w:line="240"/>
              <w:jc w:val="center"/>
            </w:pPr>
            <w:r>
              <w:rPr>
                <w:rFonts w:ascii="Calibri" w:cs="Calibri" w:eastAsia="Calibri" w:hAnsi="Calibri"/>
                <w:b/>
                <w:bCs/>
                <w:color w:val="8A2C2C"/>
                <w:sz w:val="20"/>
                <w:szCs w:val="20"/>
              </w:rPr>
              <w:t xml:space="preserve">P0</w:t>
            </w:r>
          </w:p>
        </w:tc>
        <w:tc>
          <w:tcPr>
            <w:tcW w:type="dxa" w:w="5708"/>
            <w:tcMar>
              <w:top w:type="dxa" w:w="55"/>
              <w:left w:type="dxa" w:w="100"/>
              <w:bottom w:type="dxa" w:w="55"/>
              <w:right w:type="dxa" w:w="100"/>
            </w:tcMar>
            <w:vAlign w:val="top"/>
          </w:tcPr>
          <w:p>
            <w:pPr>
              <w:spacing w:after="0" w:line="232"/>
            </w:pPr>
            <w:r>
              <w:rPr>
                <w:rFonts w:ascii="Calibri" w:cs="Calibri" w:eastAsia="Calibri" w:hAnsi="Calibri"/>
                <w:sz w:val="17"/>
                <w:szCs w:val="17"/>
              </w:rPr>
              <w:t xml:space="preserve">Coverpoint on </w:t>
            </w:r>
            <w:r>
              <w:rPr>
                <w:rFonts w:ascii="Consolas" w:cs="Consolas" w:eastAsia="Consolas" w:hAnsi="Consolas"/>
                <w:color w:val="9A2617"/>
                <w:sz w:val="14"/>
                <w:szCs w:val="14"/>
              </w:rPr>
              <w:t xml:space="preserve">count</w:t>
            </w:r>
            <w:r>
              <w:rPr>
                <w:rFonts w:ascii="Calibri" w:cs="Calibri" w:eastAsia="Calibri" w:hAnsi="Calibri"/>
                <w:sz w:val="17"/>
                <w:szCs w:val="17"/>
              </w:rPr>
              <w:t xml:space="preserve"> </w:t>
            </w:r>
            <w:r>
              <w:rPr>
                <w:rFonts w:ascii="Calibri" w:cs="Calibri" w:eastAsia="Calibri" w:hAnsi="Calibri"/>
                <w:i/>
                <w:iCs/>
                <w:sz w:val="17"/>
                <w:szCs w:val="17"/>
              </w:rPr>
              <w:t xml:space="preserve">at the moment each read occurs</w:t>
            </w:r>
            <w:r>
              <w:rPr>
                <w:rFonts w:ascii="Calibri" w:cs="Calibri" w:eastAsia="Calibri" w:hAnsi="Calibri"/>
                <w:sz w:val="17"/>
                <w:szCs w:val="17"/>
              </w:rPr>
              <w:t xml:space="preserve">; bins spanning 1 through </w:t>
            </w:r>
            <w:r>
              <w:rPr>
                <w:rFonts w:ascii="Consolas" w:cs="Consolas" w:eastAsia="Consolas" w:hAnsi="Consolas"/>
                <w:color w:val="9A2617"/>
                <w:sz w:val="14"/>
                <w:szCs w:val="14"/>
              </w:rPr>
              <w:t xml:space="preserve">DEPTH</w:t>
            </w:r>
            <w:r>
              <w:rPr>
                <w:rFonts w:ascii="Calibri" w:cs="Calibri" w:eastAsia="Calibri" w:hAnsi="Calibri"/>
                <w:sz w:val="17"/>
                <w:szCs w:val="17"/>
              </w:rPr>
              <w:t xml:space="preserve">, confirming reads were exercised across the full range of fill levels, not just near-empty.</w:t>
            </w:r>
          </w:p>
        </w:tc>
      </w:tr>
      <w:tr>
        <w:trPr>
          <w:cantSplit/>
        </w:trPr>
        <w:tc>
          <w:tcPr>
            <w:tcW w:type="dxa" w:w="2750"/>
            <w:shd w:fill="F4F6FA" w:color="auto" w:val="clear"/>
            <w:tcMar>
              <w:top w:type="dxa" w:w="55"/>
              <w:left w:type="dxa" w:w="100"/>
              <w:bottom w:type="dxa" w:w="55"/>
              <w:right w:type="dxa" w:w="100"/>
            </w:tcMar>
            <w:vAlign w:val="center"/>
          </w:tcPr>
          <w:p>
            <w:pPr>
              <w:spacing w:after="0" w:line="232"/>
            </w:pPr>
            <w:r>
              <w:rPr>
                <w:rFonts w:ascii="Consolas" w:cs="Consolas" w:eastAsia="Consolas" w:hAnsi="Consolas"/>
                <w:color w:val="9A2617"/>
                <w:sz w:val="16"/>
                <w:szCs w:val="16"/>
              </w:rPr>
              <w:t xml:space="preserve">full_​flag_​asserts_​when_​count_​equals_​depth</w:t>
            </w:r>
          </w:p>
        </w:tc>
        <w:tc>
          <w:tcPr>
            <w:tcW w:type="dxa" w:w="1200"/>
            <w:shd w:fill="F4F6FA" w:color="auto" w:val="clear"/>
            <w:tcMar>
              <w:top w:type="dxa" w:w="55"/>
              <w:left w:type="dxa" w:w="100"/>
              <w:bottom w:type="dxa" w:w="55"/>
              <w:right w:type="dxa" w:w="100"/>
            </w:tcMar>
            <w:vAlign w:val="center"/>
          </w:tcPr>
          <w:p>
            <w:pPr>
              <w:spacing w:after="0" w:line="232"/>
              <w:jc w:val="center"/>
            </w:pPr>
            <w:r>
              <w:rPr>
                <w:rFonts w:ascii="Consolas" w:cs="Consolas" w:eastAsia="Consolas" w:hAnsi="Consolas"/>
                <w:color w:val="9A2617"/>
                <w:sz w:val="16"/>
                <w:szCs w:val="16"/>
              </w:rPr>
              <w:t xml:space="preserve">CORNER_001</w:t>
            </w:r>
          </w:p>
        </w:tc>
        <w:tc>
          <w:tcPr>
            <w:tcW w:type="dxa" w:w="1900"/>
            <w:shd w:fill="F4F6FA" w:color="auto" w:val="clear"/>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Checker w/ expected value</w:t>
            </w:r>
          </w:p>
        </w:tc>
        <w:tc>
          <w:tcPr>
            <w:tcW w:type="dxa" w:w="1600"/>
            <w:shd w:fill="F4F6FA" w:color="auto" w:val="clear"/>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Directed</w:t>
            </w:r>
          </w:p>
        </w:tc>
        <w:tc>
          <w:tcPr>
            <w:tcW w:type="dxa" w:w="800"/>
            <w:shd w:fill="F7DEDE" w:color="auto" w:val="clear"/>
            <w:tcMar>
              <w:top w:type="dxa" w:w="55"/>
              <w:left w:type="dxa" w:w="50"/>
              <w:bottom w:type="dxa" w:w="55"/>
              <w:right w:type="dxa" w:w="50"/>
            </w:tcMar>
            <w:vAlign w:val="center"/>
          </w:tcPr>
          <w:p>
            <w:pPr>
              <w:spacing w:after="0" w:line="240"/>
              <w:jc w:val="center"/>
            </w:pPr>
            <w:r>
              <w:rPr>
                <w:rFonts w:ascii="Calibri" w:cs="Calibri" w:eastAsia="Calibri" w:hAnsi="Calibri"/>
                <w:b/>
                <w:bCs/>
                <w:color w:val="8A2C2C"/>
                <w:sz w:val="20"/>
                <w:szCs w:val="20"/>
              </w:rPr>
              <w:t xml:space="preserve">P0</w:t>
            </w:r>
          </w:p>
        </w:tc>
        <w:tc>
          <w:tcPr>
            <w:tcW w:type="dxa" w:w="5708"/>
            <w:shd w:fill="F4F6FA" w:color="auto" w:val="clear"/>
            <w:tcMar>
              <w:top w:type="dxa" w:w="55"/>
              <w:left w:type="dxa" w:w="100"/>
              <w:bottom w:type="dxa" w:w="55"/>
              <w:right w:type="dxa" w:w="100"/>
            </w:tcMar>
            <w:vAlign w:val="top"/>
          </w:tcPr>
          <w:p>
            <w:pPr>
              <w:spacing w:after="0" w:line="232"/>
            </w:pPr>
            <w:r>
              <w:rPr>
                <w:rFonts w:ascii="Calibri" w:cs="Calibri" w:eastAsia="Calibri" w:hAnsi="Calibri"/>
                <w:sz w:val="17"/>
                <w:szCs w:val="17"/>
              </w:rPr>
              <w:t xml:space="preserve">Coverpoint on </w:t>
            </w:r>
            <w:r>
              <w:rPr>
                <w:rFonts w:ascii="Consolas" w:cs="Consolas" w:eastAsia="Consolas" w:hAnsi="Consolas"/>
                <w:color w:val="9A2617"/>
                <w:sz w:val="14"/>
                <w:szCs w:val="14"/>
              </w:rPr>
              <w:t xml:space="preserve">count</w:t>
            </w:r>
            <w:r>
              <w:rPr>
                <w:rFonts w:ascii="Calibri" w:cs="Calibri" w:eastAsia="Calibri" w:hAnsi="Calibri"/>
                <w:sz w:val="17"/>
                <w:szCs w:val="17"/>
              </w:rPr>
              <w:t xml:space="preserve">, bin </w:t>
            </w:r>
            <w:r>
              <w:rPr>
                <w:rFonts w:ascii="Consolas" w:cs="Consolas" w:eastAsia="Consolas" w:hAnsi="Consolas"/>
                <w:color w:val="9A2617"/>
                <w:sz w:val="14"/>
                <w:szCs w:val="14"/>
              </w:rPr>
              <w:t xml:space="preserve">full = {DEPTH}</w:t>
            </w:r>
            <w:r>
              <w:rPr>
                <w:rFonts w:ascii="Calibri" w:cs="Calibri" w:eastAsia="Calibri" w:hAnsi="Calibri"/>
                <w:sz w:val="17"/>
                <w:szCs w:val="17"/>
              </w:rPr>
              <w:t xml:space="preserve"> (same bin as the </w:t>
            </w:r>
            <w:r>
              <w:rPr>
                <w:rFonts w:ascii="Consolas" w:cs="Consolas" w:eastAsia="Consolas" w:hAnsi="Consolas"/>
                <w:color w:val="9A2617"/>
                <w:sz w:val="14"/>
                <w:szCs w:val="14"/>
              </w:rPr>
              <w:t xml:space="preserve">count</w:t>
            </w:r>
            <w:r>
              <w:rPr>
                <w:rFonts w:ascii="Calibri" w:cs="Calibri" w:eastAsia="Calibri" w:hAnsi="Calibri"/>
                <w:sz w:val="17"/>
                <w:szCs w:val="17"/>
              </w:rPr>
              <w:t xml:space="preserve"> coverage plan above).</w:t>
            </w:r>
          </w:p>
        </w:tc>
      </w:tr>
      <w:tr>
        <w:trPr>
          <w:cantSplit/>
        </w:trPr>
        <w:tc>
          <w:tcPr>
            <w:tcW w:type="dxa" w:w="2750"/>
            <w:tcMar>
              <w:top w:type="dxa" w:w="55"/>
              <w:left w:type="dxa" w:w="100"/>
              <w:bottom w:type="dxa" w:w="55"/>
              <w:right w:type="dxa" w:w="100"/>
            </w:tcMar>
            <w:vAlign w:val="center"/>
          </w:tcPr>
          <w:p>
            <w:pPr>
              <w:spacing w:after="0" w:line="232"/>
            </w:pPr>
            <w:r>
              <w:rPr>
                <w:rFonts w:ascii="Consolas" w:cs="Consolas" w:eastAsia="Consolas" w:hAnsi="Consolas"/>
                <w:color w:val="9A2617"/>
                <w:sz w:val="16"/>
                <w:szCs w:val="16"/>
              </w:rPr>
              <w:t xml:space="preserve">write_​blocked_​when_​full</w:t>
            </w:r>
          </w:p>
        </w:tc>
        <w:tc>
          <w:tcPr>
            <w:tcW w:type="dxa" w:w="1200"/>
            <w:tcMar>
              <w:top w:type="dxa" w:w="55"/>
              <w:left w:type="dxa" w:w="100"/>
              <w:bottom w:type="dxa" w:w="55"/>
              <w:right w:type="dxa" w:w="100"/>
            </w:tcMar>
            <w:vAlign w:val="center"/>
          </w:tcPr>
          <w:p>
            <w:pPr>
              <w:spacing w:after="0" w:line="232"/>
              <w:jc w:val="center"/>
            </w:pPr>
            <w:r>
              <w:rPr>
                <w:rFonts w:ascii="Consolas" w:cs="Consolas" w:eastAsia="Consolas" w:hAnsi="Consolas"/>
                <w:color w:val="9A2617"/>
                <w:sz w:val="16"/>
                <w:szCs w:val="16"/>
              </w:rPr>
              <w:t xml:space="preserve">NEG_001</w:t>
            </w:r>
          </w:p>
        </w:tc>
        <w:tc>
          <w:tcPr>
            <w:tcW w:type="dxa" w:w="1900"/>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Assertion</w:t>
            </w:r>
          </w:p>
        </w:tc>
        <w:tc>
          <w:tcPr>
            <w:tcW w:type="dxa" w:w="1600"/>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Directed</w:t>
            </w:r>
          </w:p>
        </w:tc>
        <w:tc>
          <w:tcPr>
            <w:tcW w:type="dxa" w:w="800"/>
            <w:shd w:fill="F7DEDE" w:color="auto" w:val="clear"/>
            <w:tcMar>
              <w:top w:type="dxa" w:w="55"/>
              <w:left w:type="dxa" w:w="50"/>
              <w:bottom w:type="dxa" w:w="55"/>
              <w:right w:type="dxa" w:w="50"/>
            </w:tcMar>
            <w:vAlign w:val="center"/>
          </w:tcPr>
          <w:p>
            <w:pPr>
              <w:spacing w:after="0" w:line="240"/>
              <w:jc w:val="center"/>
            </w:pPr>
            <w:r>
              <w:rPr>
                <w:rFonts w:ascii="Calibri" w:cs="Calibri" w:eastAsia="Calibri" w:hAnsi="Calibri"/>
                <w:b/>
                <w:bCs/>
                <w:color w:val="8A2C2C"/>
                <w:sz w:val="20"/>
                <w:szCs w:val="20"/>
              </w:rPr>
              <w:t xml:space="preserve">P0</w:t>
            </w:r>
          </w:p>
        </w:tc>
        <w:tc>
          <w:tcPr>
            <w:tcW w:type="dxa" w:w="5708"/>
            <w:tcMar>
              <w:top w:type="dxa" w:w="55"/>
              <w:left w:type="dxa" w:w="100"/>
              <w:bottom w:type="dxa" w:w="55"/>
              <w:right w:type="dxa" w:w="100"/>
            </w:tcMar>
            <w:vAlign w:val="top"/>
          </w:tcPr>
          <w:p>
            <w:pPr>
              <w:spacing w:after="0" w:line="232"/>
            </w:pPr>
            <w:r>
              <w:rPr>
                <w:rFonts w:ascii="Calibri" w:cs="Calibri" w:eastAsia="Calibri" w:hAnsi="Calibri"/>
                <w:sz w:val="17"/>
                <w:szCs w:val="17"/>
              </w:rPr>
              <w:t xml:space="preserve">Cross coverage of </w:t>
            </w:r>
            <w:r>
              <w:rPr>
                <w:rFonts w:ascii="Consolas" w:cs="Consolas" w:eastAsia="Consolas" w:hAnsi="Consolas"/>
                <w:color w:val="9A2617"/>
                <w:sz w:val="14"/>
                <w:szCs w:val="14"/>
              </w:rPr>
              <w:t xml:space="preserve">wr_​en</w:t>
            </w:r>
            <w:r>
              <w:rPr>
                <w:rFonts w:ascii="Calibri" w:cs="Calibri" w:eastAsia="Calibri" w:hAnsi="Calibri"/>
                <w:sz w:val="17"/>
                <w:szCs w:val="17"/>
              </w:rPr>
              <w:t xml:space="preserve"> × </w:t>
            </w:r>
            <w:r>
              <w:rPr>
                <w:rFonts w:ascii="Consolas" w:cs="Consolas" w:eastAsia="Consolas" w:hAnsi="Consolas"/>
                <w:color w:val="9A2617"/>
                <w:sz w:val="14"/>
                <w:szCs w:val="14"/>
              </w:rPr>
              <w:t xml:space="preserve">full</w:t>
            </w:r>
            <w:r>
              <w:rPr>
                <w:rFonts w:ascii="Calibri" w:cs="Calibri" w:eastAsia="Calibri" w:hAnsi="Calibri"/>
                <w:sz w:val="17"/>
                <w:szCs w:val="17"/>
              </w:rPr>
              <w:t xml:space="preserve">; bin </w:t>
            </w:r>
            <w:r>
              <w:rPr>
                <w:rFonts w:ascii="Consolas" w:cs="Consolas" w:eastAsia="Consolas" w:hAnsi="Consolas"/>
                <w:color w:val="9A2617"/>
                <w:sz w:val="14"/>
                <w:szCs w:val="14"/>
              </w:rPr>
              <w:t xml:space="preserve">blocked_​write = {wr_​en=1, full=1}</w:t>
            </w:r>
            <w:r>
              <w:rPr>
                <w:rFonts w:ascii="Calibri" w:cs="Calibri" w:eastAsia="Calibri" w:hAnsi="Calibri"/>
                <w:sz w:val="17"/>
                <w:szCs w:val="17"/>
              </w:rPr>
              <w:t xml:space="preserve">.</w:t>
            </w:r>
          </w:p>
        </w:tc>
      </w:tr>
      <w:tr>
        <w:trPr>
          <w:cantSplit/>
        </w:trPr>
        <w:tc>
          <w:tcPr>
            <w:tcW w:type="dxa" w:w="2750"/>
            <w:shd w:fill="F4F6FA" w:color="auto" w:val="clear"/>
            <w:tcMar>
              <w:top w:type="dxa" w:w="55"/>
              <w:left w:type="dxa" w:w="100"/>
              <w:bottom w:type="dxa" w:w="55"/>
              <w:right w:type="dxa" w:w="100"/>
            </w:tcMar>
            <w:vAlign w:val="center"/>
          </w:tcPr>
          <w:p>
            <w:pPr>
              <w:spacing w:after="0" w:line="232"/>
            </w:pPr>
            <w:r>
              <w:rPr>
                <w:rFonts w:ascii="Consolas" w:cs="Consolas" w:eastAsia="Consolas" w:hAnsi="Consolas"/>
                <w:color w:val="9A2617"/>
                <w:sz w:val="16"/>
                <w:szCs w:val="16"/>
              </w:rPr>
              <w:t xml:space="preserve">empty_​flag_​asserts_​when_​count_​equals_​zero</w:t>
            </w:r>
          </w:p>
        </w:tc>
        <w:tc>
          <w:tcPr>
            <w:tcW w:type="dxa" w:w="1200"/>
            <w:shd w:fill="F4F6FA" w:color="auto" w:val="clear"/>
            <w:tcMar>
              <w:top w:type="dxa" w:w="55"/>
              <w:left w:type="dxa" w:w="100"/>
              <w:bottom w:type="dxa" w:w="55"/>
              <w:right w:type="dxa" w:w="100"/>
            </w:tcMar>
            <w:vAlign w:val="center"/>
          </w:tcPr>
          <w:p>
            <w:pPr>
              <w:spacing w:after="0" w:line="232"/>
              <w:jc w:val="center"/>
            </w:pPr>
            <w:r>
              <w:rPr>
                <w:rFonts w:ascii="Consolas" w:cs="Consolas" w:eastAsia="Consolas" w:hAnsi="Consolas"/>
                <w:color w:val="9A2617"/>
                <w:sz w:val="16"/>
                <w:szCs w:val="16"/>
              </w:rPr>
              <w:t xml:space="preserve">CORNER_002</w:t>
            </w:r>
          </w:p>
        </w:tc>
        <w:tc>
          <w:tcPr>
            <w:tcW w:type="dxa" w:w="1900"/>
            <w:shd w:fill="F4F6FA" w:color="auto" w:val="clear"/>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Checker w/ expected value</w:t>
            </w:r>
          </w:p>
        </w:tc>
        <w:tc>
          <w:tcPr>
            <w:tcW w:type="dxa" w:w="1600"/>
            <w:shd w:fill="F4F6FA" w:color="auto" w:val="clear"/>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Directed</w:t>
            </w:r>
          </w:p>
        </w:tc>
        <w:tc>
          <w:tcPr>
            <w:tcW w:type="dxa" w:w="800"/>
            <w:shd w:fill="F7DEDE" w:color="auto" w:val="clear"/>
            <w:tcMar>
              <w:top w:type="dxa" w:w="55"/>
              <w:left w:type="dxa" w:w="50"/>
              <w:bottom w:type="dxa" w:w="55"/>
              <w:right w:type="dxa" w:w="50"/>
            </w:tcMar>
            <w:vAlign w:val="center"/>
          </w:tcPr>
          <w:p>
            <w:pPr>
              <w:spacing w:after="0" w:line="240"/>
              <w:jc w:val="center"/>
            </w:pPr>
            <w:r>
              <w:rPr>
                <w:rFonts w:ascii="Calibri" w:cs="Calibri" w:eastAsia="Calibri" w:hAnsi="Calibri"/>
                <w:b/>
                <w:bCs/>
                <w:color w:val="8A2C2C"/>
                <w:sz w:val="20"/>
                <w:szCs w:val="20"/>
              </w:rPr>
              <w:t xml:space="preserve">P0</w:t>
            </w:r>
          </w:p>
        </w:tc>
        <w:tc>
          <w:tcPr>
            <w:tcW w:type="dxa" w:w="5708"/>
            <w:shd w:fill="F4F6FA" w:color="auto" w:val="clear"/>
            <w:tcMar>
              <w:top w:type="dxa" w:w="55"/>
              <w:left w:type="dxa" w:w="100"/>
              <w:bottom w:type="dxa" w:w="55"/>
              <w:right w:type="dxa" w:w="100"/>
            </w:tcMar>
            <w:vAlign w:val="top"/>
          </w:tcPr>
          <w:p>
            <w:pPr>
              <w:spacing w:after="0" w:line="232"/>
            </w:pPr>
            <w:r>
              <w:rPr>
                <w:rFonts w:ascii="Calibri" w:cs="Calibri" w:eastAsia="Calibri" w:hAnsi="Calibri"/>
                <w:sz w:val="17"/>
                <w:szCs w:val="17"/>
              </w:rPr>
              <w:t xml:space="preserve">Coverpoint on </w:t>
            </w:r>
            <w:r>
              <w:rPr>
                <w:rFonts w:ascii="Consolas" w:cs="Consolas" w:eastAsia="Consolas" w:hAnsi="Consolas"/>
                <w:color w:val="9A2617"/>
                <w:sz w:val="14"/>
                <w:szCs w:val="14"/>
              </w:rPr>
              <w:t xml:space="preserve">count</w:t>
            </w:r>
            <w:r>
              <w:rPr>
                <w:rFonts w:ascii="Calibri" w:cs="Calibri" w:eastAsia="Calibri" w:hAnsi="Calibri"/>
                <w:sz w:val="17"/>
                <w:szCs w:val="17"/>
              </w:rPr>
              <w:t xml:space="preserve">, bin </w:t>
            </w:r>
            <w:r>
              <w:rPr>
                <w:rFonts w:ascii="Consolas" w:cs="Consolas" w:eastAsia="Consolas" w:hAnsi="Consolas"/>
                <w:color w:val="9A2617"/>
                <w:sz w:val="14"/>
                <w:szCs w:val="14"/>
              </w:rPr>
              <w:t xml:space="preserve">empty = {0}</w:t>
            </w:r>
            <w:r>
              <w:rPr>
                <w:rFonts w:ascii="Calibri" w:cs="Calibri" w:eastAsia="Calibri" w:hAnsi="Calibri"/>
                <w:sz w:val="17"/>
                <w:szCs w:val="17"/>
              </w:rPr>
              <w:t xml:space="preserve"> (reached </w:t>
            </w:r>
            <w:r>
              <w:rPr>
                <w:rFonts w:ascii="Calibri" w:cs="Calibri" w:eastAsia="Calibri" w:hAnsi="Calibri"/>
                <w:i/>
                <w:iCs/>
                <w:sz w:val="17"/>
                <w:szCs w:val="17"/>
              </w:rPr>
              <w:t xml:space="preserve">after</w:t>
            </w:r>
            <w:r>
              <w:rPr>
                <w:rFonts w:ascii="Calibri" w:cs="Calibri" w:eastAsia="Calibri" w:hAnsi="Calibri"/>
                <w:sz w:val="17"/>
                <w:szCs w:val="17"/>
              </w:rPr>
              <w:t xml:space="preserve"> having been non-zero, not just at power-on).</w:t>
            </w:r>
          </w:p>
        </w:tc>
      </w:tr>
      <w:tr>
        <w:trPr>
          <w:cantSplit/>
        </w:trPr>
        <w:tc>
          <w:tcPr>
            <w:tcW w:type="dxa" w:w="2750"/>
            <w:tcMar>
              <w:top w:type="dxa" w:w="55"/>
              <w:left w:type="dxa" w:w="100"/>
              <w:bottom w:type="dxa" w:w="55"/>
              <w:right w:type="dxa" w:w="100"/>
            </w:tcMar>
            <w:vAlign w:val="center"/>
          </w:tcPr>
          <w:p>
            <w:pPr>
              <w:spacing w:after="0" w:line="232"/>
            </w:pPr>
            <w:r>
              <w:rPr>
                <w:rFonts w:ascii="Consolas" w:cs="Consolas" w:eastAsia="Consolas" w:hAnsi="Consolas"/>
                <w:color w:val="9A2617"/>
                <w:sz w:val="16"/>
                <w:szCs w:val="16"/>
              </w:rPr>
              <w:t xml:space="preserve">read_​blocked_​when_​empty</w:t>
            </w:r>
          </w:p>
        </w:tc>
        <w:tc>
          <w:tcPr>
            <w:tcW w:type="dxa" w:w="1200"/>
            <w:tcMar>
              <w:top w:type="dxa" w:w="55"/>
              <w:left w:type="dxa" w:w="100"/>
              <w:bottom w:type="dxa" w:w="55"/>
              <w:right w:type="dxa" w:w="100"/>
            </w:tcMar>
            <w:vAlign w:val="center"/>
          </w:tcPr>
          <w:p>
            <w:pPr>
              <w:spacing w:after="0" w:line="232"/>
              <w:jc w:val="center"/>
            </w:pPr>
            <w:r>
              <w:rPr>
                <w:rFonts w:ascii="Consolas" w:cs="Consolas" w:eastAsia="Consolas" w:hAnsi="Consolas"/>
                <w:color w:val="9A2617"/>
                <w:sz w:val="16"/>
                <w:szCs w:val="16"/>
              </w:rPr>
              <w:t xml:space="preserve">NEG_002</w:t>
            </w:r>
          </w:p>
        </w:tc>
        <w:tc>
          <w:tcPr>
            <w:tcW w:type="dxa" w:w="1900"/>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Assertion</w:t>
            </w:r>
          </w:p>
        </w:tc>
        <w:tc>
          <w:tcPr>
            <w:tcW w:type="dxa" w:w="1600"/>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Directed</w:t>
            </w:r>
          </w:p>
        </w:tc>
        <w:tc>
          <w:tcPr>
            <w:tcW w:type="dxa" w:w="800"/>
            <w:shd w:fill="F7DEDE" w:color="auto" w:val="clear"/>
            <w:tcMar>
              <w:top w:type="dxa" w:w="55"/>
              <w:left w:type="dxa" w:w="50"/>
              <w:bottom w:type="dxa" w:w="55"/>
              <w:right w:type="dxa" w:w="50"/>
            </w:tcMar>
            <w:vAlign w:val="center"/>
          </w:tcPr>
          <w:p>
            <w:pPr>
              <w:spacing w:after="0" w:line="240"/>
              <w:jc w:val="center"/>
            </w:pPr>
            <w:r>
              <w:rPr>
                <w:rFonts w:ascii="Calibri" w:cs="Calibri" w:eastAsia="Calibri" w:hAnsi="Calibri"/>
                <w:b/>
                <w:bCs/>
                <w:color w:val="8A2C2C"/>
                <w:sz w:val="20"/>
                <w:szCs w:val="20"/>
              </w:rPr>
              <w:t xml:space="preserve">P0</w:t>
            </w:r>
          </w:p>
        </w:tc>
        <w:tc>
          <w:tcPr>
            <w:tcW w:type="dxa" w:w="5708"/>
            <w:tcMar>
              <w:top w:type="dxa" w:w="55"/>
              <w:left w:type="dxa" w:w="100"/>
              <w:bottom w:type="dxa" w:w="55"/>
              <w:right w:type="dxa" w:w="100"/>
            </w:tcMar>
            <w:vAlign w:val="top"/>
          </w:tcPr>
          <w:p>
            <w:pPr>
              <w:spacing w:after="0" w:line="232"/>
            </w:pPr>
            <w:r>
              <w:rPr>
                <w:rFonts w:ascii="Calibri" w:cs="Calibri" w:eastAsia="Calibri" w:hAnsi="Calibri"/>
                <w:sz w:val="17"/>
                <w:szCs w:val="17"/>
              </w:rPr>
              <w:t xml:space="preserve">Cross coverage of </w:t>
            </w:r>
            <w:r>
              <w:rPr>
                <w:rFonts w:ascii="Consolas" w:cs="Consolas" w:eastAsia="Consolas" w:hAnsi="Consolas"/>
                <w:color w:val="9A2617"/>
                <w:sz w:val="14"/>
                <w:szCs w:val="14"/>
              </w:rPr>
              <w:t xml:space="preserve">rd_​en</w:t>
            </w:r>
            <w:r>
              <w:rPr>
                <w:rFonts w:ascii="Calibri" w:cs="Calibri" w:eastAsia="Calibri" w:hAnsi="Calibri"/>
                <w:sz w:val="17"/>
                <w:szCs w:val="17"/>
              </w:rPr>
              <w:t xml:space="preserve"> × </w:t>
            </w:r>
            <w:r>
              <w:rPr>
                <w:rFonts w:ascii="Consolas" w:cs="Consolas" w:eastAsia="Consolas" w:hAnsi="Consolas"/>
                <w:color w:val="9A2617"/>
                <w:sz w:val="14"/>
                <w:szCs w:val="14"/>
              </w:rPr>
              <w:t xml:space="preserve">empty</w:t>
            </w:r>
            <w:r>
              <w:rPr>
                <w:rFonts w:ascii="Calibri" w:cs="Calibri" w:eastAsia="Calibri" w:hAnsi="Calibri"/>
                <w:sz w:val="17"/>
                <w:szCs w:val="17"/>
              </w:rPr>
              <w:t xml:space="preserve">; bin </w:t>
            </w:r>
            <w:r>
              <w:rPr>
                <w:rFonts w:ascii="Consolas" w:cs="Consolas" w:eastAsia="Consolas" w:hAnsi="Consolas"/>
                <w:color w:val="9A2617"/>
                <w:sz w:val="14"/>
                <w:szCs w:val="14"/>
              </w:rPr>
              <w:t xml:space="preserve">blocked_​read = {rd_​en=1, empty=1}</w:t>
            </w:r>
            <w:r>
              <w:rPr>
                <w:rFonts w:ascii="Calibri" w:cs="Calibri" w:eastAsia="Calibri" w:hAnsi="Calibri"/>
                <w:sz w:val="17"/>
                <w:szCs w:val="17"/>
              </w:rPr>
              <w:t xml:space="preserve">.</w:t>
            </w:r>
          </w:p>
        </w:tc>
      </w:tr>
      <w:tr>
        <w:trPr>
          <w:cantSplit/>
        </w:trPr>
        <w:tc>
          <w:tcPr>
            <w:tcW w:type="dxa" w:w="2750"/>
            <w:shd w:fill="F4F6FA" w:color="auto" w:val="clear"/>
            <w:tcMar>
              <w:top w:type="dxa" w:w="55"/>
              <w:left w:type="dxa" w:w="100"/>
              <w:bottom w:type="dxa" w:w="55"/>
              <w:right w:type="dxa" w:w="100"/>
            </w:tcMar>
            <w:vAlign w:val="center"/>
          </w:tcPr>
          <w:p>
            <w:pPr>
              <w:spacing w:after="0" w:line="232"/>
            </w:pPr>
            <w:r>
              <w:rPr>
                <w:rFonts w:ascii="Consolas" w:cs="Consolas" w:eastAsia="Consolas" w:hAnsi="Consolas"/>
                <w:color w:val="9A2617"/>
                <w:sz w:val="16"/>
                <w:szCs w:val="16"/>
              </w:rPr>
              <w:t xml:space="preserve">count_​unchanged_​on_​simultaneous_​read_​write</w:t>
            </w:r>
          </w:p>
        </w:tc>
        <w:tc>
          <w:tcPr>
            <w:tcW w:type="dxa" w:w="1200"/>
            <w:shd w:fill="F4F6FA" w:color="auto" w:val="clear"/>
            <w:tcMar>
              <w:top w:type="dxa" w:w="55"/>
              <w:left w:type="dxa" w:w="100"/>
              <w:bottom w:type="dxa" w:w="55"/>
              <w:right w:type="dxa" w:w="100"/>
            </w:tcMar>
            <w:vAlign w:val="center"/>
          </w:tcPr>
          <w:p>
            <w:pPr>
              <w:spacing w:after="0" w:line="232"/>
              <w:jc w:val="center"/>
            </w:pPr>
            <w:r>
              <w:rPr>
                <w:rFonts w:ascii="Consolas" w:cs="Consolas" w:eastAsia="Consolas" w:hAnsi="Consolas"/>
                <w:color w:val="9A2617"/>
                <w:sz w:val="16"/>
                <w:szCs w:val="16"/>
              </w:rPr>
              <w:t xml:space="preserve">CORNER_003</w:t>
            </w:r>
          </w:p>
        </w:tc>
        <w:tc>
          <w:tcPr>
            <w:tcW w:type="dxa" w:w="1900"/>
            <w:shd w:fill="F4F6FA" w:color="auto" w:val="clear"/>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Assertion</w:t>
            </w:r>
          </w:p>
        </w:tc>
        <w:tc>
          <w:tcPr>
            <w:tcW w:type="dxa" w:w="1600"/>
            <w:shd w:fill="F4F6FA" w:color="auto" w:val="clear"/>
            <w:tcMar>
              <w:top w:type="dxa" w:w="55"/>
              <w:left w:type="dxa" w:w="100"/>
              <w:bottom w:type="dxa" w:w="55"/>
              <w:right w:type="dxa" w:w="100"/>
            </w:tcMar>
            <w:vAlign w:val="center"/>
          </w:tcPr>
          <w:p>
            <w:pPr>
              <w:spacing w:after="0" w:line="232"/>
              <w:jc w:val="center"/>
            </w:pPr>
            <w:r>
              <w:rPr>
                <w:rFonts w:ascii="Calibri" w:cs="Calibri" w:eastAsia="Calibri" w:hAnsi="Calibri"/>
                <w:sz w:val="19"/>
                <w:szCs w:val="19"/>
              </w:rPr>
              <w:t xml:space="preserve">Directed</w:t>
            </w:r>
          </w:p>
        </w:tc>
        <w:tc>
          <w:tcPr>
            <w:tcW w:type="dxa" w:w="800"/>
            <w:shd w:fill="FBEBCF" w:color="auto" w:val="clear"/>
            <w:tcMar>
              <w:top w:type="dxa" w:w="55"/>
              <w:left w:type="dxa" w:w="50"/>
              <w:bottom w:type="dxa" w:w="55"/>
              <w:right w:type="dxa" w:w="50"/>
            </w:tcMar>
            <w:vAlign w:val="center"/>
          </w:tcPr>
          <w:p>
            <w:pPr>
              <w:spacing w:after="0" w:line="240"/>
              <w:jc w:val="center"/>
            </w:pPr>
            <w:r>
              <w:rPr>
                <w:rFonts w:ascii="Calibri" w:cs="Calibri" w:eastAsia="Calibri" w:hAnsi="Calibri"/>
                <w:b/>
                <w:bCs/>
                <w:color w:val="7A5410"/>
                <w:sz w:val="20"/>
                <w:szCs w:val="20"/>
              </w:rPr>
              <w:t xml:space="preserve">P1</w:t>
            </w:r>
          </w:p>
        </w:tc>
        <w:tc>
          <w:tcPr>
            <w:tcW w:type="dxa" w:w="5708"/>
            <w:shd w:fill="F4F6FA" w:color="auto" w:val="clear"/>
            <w:tcMar>
              <w:top w:type="dxa" w:w="55"/>
              <w:left w:type="dxa" w:w="100"/>
              <w:bottom w:type="dxa" w:w="55"/>
              <w:right w:type="dxa" w:w="100"/>
            </w:tcMar>
            <w:vAlign w:val="top"/>
          </w:tcPr>
          <w:p>
            <w:pPr>
              <w:spacing w:after="0" w:line="232"/>
            </w:pPr>
            <w:r>
              <w:rPr>
                <w:rFonts w:ascii="Calibri" w:cs="Calibri" w:eastAsia="Calibri" w:hAnsi="Calibri"/>
                <w:sz w:val="17"/>
                <w:szCs w:val="17"/>
              </w:rPr>
              <w:t xml:space="preserve">Cross coverage of </w:t>
            </w:r>
            <w:r>
              <w:rPr>
                <w:rFonts w:ascii="Consolas" w:cs="Consolas" w:eastAsia="Consolas" w:hAnsi="Consolas"/>
                <w:color w:val="9A2617"/>
                <w:sz w:val="14"/>
                <w:szCs w:val="14"/>
              </w:rPr>
              <w:t xml:space="preserve">wr_​en</w:t>
            </w:r>
            <w:r>
              <w:rPr>
                <w:rFonts w:ascii="Calibri" w:cs="Calibri" w:eastAsia="Calibri" w:hAnsi="Calibri"/>
                <w:sz w:val="17"/>
                <w:szCs w:val="17"/>
              </w:rPr>
              <w:t xml:space="preserve"> × </w:t>
            </w:r>
            <w:r>
              <w:rPr>
                <w:rFonts w:ascii="Consolas" w:cs="Consolas" w:eastAsia="Consolas" w:hAnsi="Consolas"/>
                <w:color w:val="9A2617"/>
                <w:sz w:val="14"/>
                <w:szCs w:val="14"/>
              </w:rPr>
              <w:t xml:space="preserve">rd_​en</w:t>
            </w:r>
            <w:r>
              <w:rPr>
                <w:rFonts w:ascii="Calibri" w:cs="Calibri" w:eastAsia="Calibri" w:hAnsi="Calibri"/>
                <w:sz w:val="17"/>
                <w:szCs w:val="17"/>
              </w:rPr>
              <w:t xml:space="preserve"> × </w:t>
            </w:r>
            <w:r>
              <w:rPr>
                <w:rFonts w:ascii="Consolas" w:cs="Consolas" w:eastAsia="Consolas" w:hAnsi="Consolas"/>
                <w:color w:val="9A2617"/>
                <w:sz w:val="14"/>
                <w:szCs w:val="14"/>
              </w:rPr>
              <w:t xml:space="preserve">{full, empty, mid}</w:t>
            </w:r>
            <w:r>
              <w:rPr>
                <w:rFonts w:ascii="Calibri" w:cs="Calibri" w:eastAsia="Calibri" w:hAnsi="Calibri"/>
                <w:sz w:val="17"/>
                <w:szCs w:val="17"/>
              </w:rPr>
              <w:t xml:space="preserve"> status; bins </w:t>
            </w:r>
            <w:r>
              <w:rPr>
                <w:rFonts w:ascii="Consolas" w:cs="Consolas" w:eastAsia="Consolas" w:hAnsi="Consolas"/>
                <w:color w:val="9A2617"/>
                <w:sz w:val="14"/>
                <w:szCs w:val="14"/>
              </w:rPr>
              <w:t xml:space="preserve">simul_​normal</w:t>
            </w:r>
            <w:r>
              <w:rPr>
                <w:rFonts w:ascii="Calibri" w:cs="Calibri" w:eastAsia="Calibri" w:hAnsi="Calibri"/>
                <w:sz w:val="17"/>
                <w:szCs w:val="17"/>
              </w:rPr>
              <w:t xml:space="preserve">, </w:t>
            </w:r>
            <w:r>
              <w:rPr>
                <w:rFonts w:ascii="Consolas" w:cs="Consolas" w:eastAsia="Consolas" w:hAnsi="Consolas"/>
                <w:color w:val="9A2617"/>
                <w:sz w:val="14"/>
                <w:szCs w:val="14"/>
              </w:rPr>
              <w:t xml:space="preserve">simul_​while_​full</w:t>
            </w:r>
            <w:r>
              <w:rPr>
                <w:rFonts w:ascii="Calibri" w:cs="Calibri" w:eastAsia="Calibri" w:hAnsi="Calibri"/>
                <w:sz w:val="17"/>
                <w:szCs w:val="17"/>
              </w:rPr>
              <w:t xml:space="preserve">, </w:t>
            </w:r>
            <w:r>
              <w:rPr>
                <w:rFonts w:ascii="Consolas" w:cs="Consolas" w:eastAsia="Consolas" w:hAnsi="Consolas"/>
                <w:color w:val="9A2617"/>
                <w:sz w:val="14"/>
                <w:szCs w:val="14"/>
              </w:rPr>
              <w:t xml:space="preserve">simul_​while_​empty</w:t>
            </w:r>
            <w:r>
              <w:rPr>
                <w:rFonts w:ascii="Calibri" w:cs="Calibri" w:eastAsia="Calibri" w:hAnsi="Calibri"/>
                <w:sz w:val="17"/>
                <w:szCs w:val="17"/>
              </w:rPr>
              <w:t xml:space="preserve">.</w:t>
            </w:r>
          </w:p>
        </w:tc>
      </w:tr>
    </w:tbl>
    <w:p>
      <w:pPr>
        <w:sectPr>
          <w:pgSz w:w="16838" w:h="11906" w:orient="landscape"/>
          <w:pgMar w:top="1080" w:right="1440" w:bottom="1080" w:left="1440" w:header="708" w:footer="708" w:gutter="0"/>
          <w:pgNumType/>
          <w:docGrid w:linePitch="360"/>
        </w:sectPr>
      </w:pPr>
    </w:p>
    <w:p>
      <w:pPr>
        <w:pStyle w:val="Heading1"/>
        <w:spacing w:after="110" w:before="0"/>
      </w:pPr>
      <w:r>
        <w:rPr>
          <w:rFonts w:ascii="Calibri" w:cs="Calibri" w:eastAsia="Calibri" w:hAnsi="Calibri"/>
          <w:b/>
          <w:bCs/>
          <w:sz w:val="21"/>
          <w:szCs w:val="21"/>
        </w:rPr>
        <w:t xml:space="preserve">Item 5 — 100% Branch Coverage vs. 100% Functional Coverage</w:t>
      </w:r>
    </w:p>
    <w:p>
      <w:pPr>
        <w:pBdr>
          <w:top w:val="single" w:color="D6DCE4" w:sz="4" w:space="6"/>
          <w:bottom w:val="single" w:color="D6DCE4" w:sz="4" w:space="6"/>
          <w:left w:val="single" w:color="5B7C9D" w:sz="18" w:space="8"/>
          <w:right w:val="single" w:color="D6DCE4" w:sz="4" w:space="6"/>
        </w:pBdr>
        <w:shd w:fill="F5F7FA" w:color="auto" w:val="clear"/>
        <w:spacing w:after="140" w:line="276"/>
      </w:pPr>
      <w:r>
        <w:rPr>
          <w:rFonts w:ascii="Calibri" w:cs="Calibri" w:eastAsia="Calibri" w:hAnsi="Calibri"/>
          <w:sz w:val="21"/>
          <w:szCs w:val="21"/>
        </w:rPr>
        <w:t xml:space="preserve">100% branch coverage means every </w:t>
      </w:r>
      <w:r>
        <w:rPr>
          <w:rFonts w:ascii="Consolas" w:cs="Consolas" w:eastAsia="Consolas" w:hAnsi="Consolas"/>
          <w:color w:val="9A2617"/>
          <w:sz w:val="18"/>
          <w:szCs w:val="18"/>
        </w:rPr>
        <w:t xml:space="preserve">if</w:t>
      </w:r>
      <w:r>
        <w:rPr>
          <w:rFonts w:ascii="Calibri" w:cs="Calibri" w:eastAsia="Calibri" w:hAnsi="Calibri"/>
          <w:sz w:val="21"/>
          <w:szCs w:val="21"/>
        </w:rPr>
        <w:t xml:space="preserve">/</w:t>
      </w:r>
      <w:r>
        <w:rPr>
          <w:rFonts w:ascii="Consolas" w:cs="Consolas" w:eastAsia="Consolas" w:hAnsi="Consolas"/>
          <w:color w:val="9A2617"/>
          <w:sz w:val="18"/>
          <w:szCs w:val="18"/>
        </w:rPr>
        <w:t xml:space="preserve">else</w:t>
      </w:r>
      <w:r>
        <w:rPr>
          <w:rFonts w:ascii="Calibri" w:cs="Calibri" w:eastAsia="Calibri" w:hAnsi="Calibri"/>
          <w:sz w:val="21"/>
          <w:szCs w:val="21"/>
        </w:rPr>
        <w:t xml:space="preserve"> and </w:t>
      </w:r>
      <w:r>
        <w:rPr>
          <w:rFonts w:ascii="Consolas" w:cs="Consolas" w:eastAsia="Consolas" w:hAnsi="Consolas"/>
          <w:color w:val="9A2617"/>
          <w:sz w:val="18"/>
          <w:szCs w:val="18"/>
        </w:rPr>
        <w:t xml:space="preserve">case</w:t>
      </w:r>
      <w:r>
        <w:rPr>
          <w:rFonts w:ascii="Calibri" w:cs="Calibri" w:eastAsia="Calibri" w:hAnsi="Calibri"/>
          <w:sz w:val="21"/>
          <w:szCs w:val="21"/>
        </w:rPr>
        <w:t xml:space="preserve"> branch in the RTL source has been taken at least once — a structural, code-level metric the simulator computes automatically just by watching which lines executed, with zero knowledge of what the design is actually supposed to do. 100% functional coverage means every scenario the DV engineer explicitly defined as meaningful (coverpoints, bins, crosses) has been exercised — a scenario-level metric that requires a human to have deliberately modeled what “meaningful” means, since the simulator can’t infer intent on its own. You can absolutely have one without the other, in both directions. You can have 100% branch coverage with far less than 100% functional coverage: every branch of the FIFO’s case statement could be hit while only ever testing </w:t>
      </w:r>
      <w:r>
        <w:rPr>
          <w:rFonts w:ascii="Consolas" w:cs="Consolas" w:eastAsia="Consolas" w:hAnsi="Consolas"/>
          <w:color w:val="9A2617"/>
          <w:sz w:val="18"/>
          <w:szCs w:val="18"/>
        </w:rPr>
        <w:t xml:space="preserve">count</w:t>
      </w:r>
      <w:r>
        <w:rPr>
          <w:rFonts w:ascii="Calibri" w:cs="Calibri" w:eastAsia="Calibri" w:hAnsi="Calibri"/>
          <w:sz w:val="21"/>
          <w:szCs w:val="21"/>
        </w:rPr>
        <w:t xml:space="preserve"> values near the middle of the range, never once at </w:t>
      </w:r>
      <w:r>
        <w:rPr>
          <w:rFonts w:ascii="Consolas" w:cs="Consolas" w:eastAsia="Consolas" w:hAnsi="Consolas"/>
          <w:color w:val="9A2617"/>
          <w:sz w:val="18"/>
          <w:szCs w:val="18"/>
        </w:rPr>
        <w:t xml:space="preserve">count==0</w:t>
      </w:r>
      <w:r>
        <w:rPr>
          <w:rFonts w:ascii="Calibri" w:cs="Calibri" w:eastAsia="Calibri" w:hAnsi="Calibri"/>
          <w:sz w:val="21"/>
          <w:szCs w:val="21"/>
        </w:rPr>
        <w:t xml:space="preserve"> or </w:t>
      </w:r>
      <w:r>
        <w:rPr>
          <w:rFonts w:ascii="Consolas" w:cs="Consolas" w:eastAsia="Consolas" w:hAnsi="Consolas"/>
          <w:color w:val="9A2617"/>
          <w:sz w:val="18"/>
          <w:szCs w:val="18"/>
        </w:rPr>
        <w:t xml:space="preserve">count==DEPTH</w:t>
      </w:r>
      <w:r>
        <w:rPr>
          <w:rFonts w:ascii="Calibri" w:cs="Calibri" w:eastAsia="Calibri" w:hAnsi="Calibri"/>
          <w:sz w:val="21"/>
          <w:szCs w:val="21"/>
        </w:rPr>
        <w:t xml:space="preserve"> — every line ran, but two of the design’s most important corner cases were never functionally verified. Conversely, you can have strong functional coverage with less than 100% branch coverage if there’s dead or redundant code nobody wrote a coverpoint for — functional coverage only measures scenarios someone thought to define, so it can’t rescue code paths nobody modeled. Branch coverage tells you the code </w:t>
      </w:r>
      <w:r>
        <w:rPr>
          <w:rFonts w:ascii="Calibri" w:cs="Calibri" w:eastAsia="Calibri" w:hAnsi="Calibri"/>
          <w:i/>
          <w:iCs/>
          <w:sz w:val="21"/>
          <w:szCs w:val="21"/>
        </w:rPr>
        <w:t xml:space="preserve">ran</w:t>
      </w:r>
      <w:r>
        <w:rPr>
          <w:rFonts w:ascii="Calibri" w:cs="Calibri" w:eastAsia="Calibri" w:hAnsi="Calibri"/>
          <w:sz w:val="21"/>
          <w:szCs w:val="21"/>
        </w:rPr>
        <w:t xml:space="preserve">; functional coverage tells you the design’s </w:t>
      </w:r>
      <w:r>
        <w:rPr>
          <w:rFonts w:ascii="Calibri" w:cs="Calibri" w:eastAsia="Calibri" w:hAnsi="Calibri"/>
          <w:i/>
          <w:iCs/>
          <w:sz w:val="21"/>
          <w:szCs w:val="21"/>
        </w:rPr>
        <w:t xml:space="preserve">meaning</w:t>
      </w:r>
      <w:r>
        <w:rPr>
          <w:rFonts w:ascii="Calibri" w:cs="Calibri" w:eastAsia="Calibri" w:hAnsi="Calibri"/>
          <w:sz w:val="21"/>
          <w:szCs w:val="21"/>
        </w:rPr>
        <w:t xml:space="preserve"> was tested. Neither implies the other, which is exactly why real verification plans track both.</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10" w:before="260"/>
    </w:pPr>
    <w:rPr>
      <w:rFonts w:ascii="Calibri" w:cs="Calibri" w:eastAsia="Calibri" w:hAnsi="Calibri"/>
      <w:b/>
      <w:bCs/>
      <w:color w:val="1F3550"/>
      <w:sz w:val="25"/>
      <w:szCs w:val="25"/>
    </w:rPr>
  </w:style>
  <w:style w:type="paragraph" w:styleId="Heading2">
    <w:name w:val="Heading 2"/>
    <w:basedOn w:val="Normal"/>
    <w:next w:val="Normal"/>
    <w:qFormat/>
    <w:pPr>
      <w:spacing w:after="100" w:before="220"/>
    </w:pPr>
    <w:rPr>
      <w:rFonts w:ascii="Calibri" w:cs="Calibri" w:eastAsia="Calibri" w:hAnsi="Calibri"/>
      <w:b/>
      <w:bCs/>
      <w:color w:val="2E4A63"/>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11 — Coverage Models</dc:title>
  <dc:creator>Nur3501</dc:creator>
  <cp:lastModifiedBy>Un-named</cp:lastModifiedBy>
  <cp:revision>1</cp:revision>
  <dcterms:created xsi:type="dcterms:W3CDTF">2026-09-01T18:33:07.682Z</dcterms:created>
  <dcterms:modified xsi:type="dcterms:W3CDTF">2026-09-01T18:33:07.682Z</dcterms:modified>
</cp:coreProperties>
</file>

<file path=docProps/custom.xml><?xml version="1.0" encoding="utf-8"?>
<Properties xmlns="http://schemas.openxmlformats.org/officeDocument/2006/custom-properties" xmlns:vt="http://schemas.openxmlformats.org/officeDocument/2006/docPropsVTypes"/>
</file>