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sz w:val="20"/>
          <w:szCs w:val="20"/>
        </w:rPr>
        <w:t xml:space="preserve"/>
      </w:r>
    </w:p>
    <w:p>
      <w:pPr>
        <w:spacing w:after="180" w:before="0"/>
        <w:jc w:val="center"/>
      </w:pPr>
      <w:r>
        <w:rPr>
          <w:rFonts w:ascii="Arial" w:cs="Arial" w:eastAsia="Arial" w:hAnsi="Arial"/>
          <w:b/>
          <w:bCs/>
          <w:color w:val="1a1a2e"/>
          <w:sz w:val="36"/>
          <w:szCs w:val="36"/>
        </w:rPr>
        <w:t xml:space="preserve">Sequential Vital Sign Monitoring for ICU Mortality Prediction:</w:t>
      </w:r>
    </w:p>
    <w:p>
      <w:pPr>
        <w:spacing w:after="300" w:before="0"/>
        <w:jc w:val="center"/>
      </w:pPr>
      <w:r>
        <w:rPr>
          <w:rFonts w:ascii="Arial" w:cs="Arial" w:eastAsia="Arial" w:hAnsi="Arial"/>
          <w:b/>
          <w:bCs/>
          <w:color w:val="1a1a2e"/>
          <w:sz w:val="36"/>
          <w:szCs w:val="36"/>
        </w:rPr>
        <w:t xml:space="preserve">A Bidirectional LSTM and Temporal Fusion Transformer Study on MIMIC-III</w:t>
      </w:r>
    </w:p>
    <w:p>
      <w:pPr>
        <w:spacing w:after="100"/>
        <w:jc w:val="center"/>
      </w:pPr>
      <w:r>
        <w:rPr>
          <w:rFonts w:ascii="Arial" w:cs="Arial" w:eastAsia="Arial" w:hAnsi="Arial"/>
          <w:b/>
          <w:bCs/>
          <w:sz w:val="22"/>
          <w:szCs w:val="22"/>
        </w:rPr>
        <w:t xml:space="preserve">Anonymous Author(s)</w:t>
      </w:r>
    </w:p>
    <w:p>
      <w:pPr>
        <w:spacing w:after="60"/>
        <w:jc w:val="center"/>
      </w:pPr>
      <w:r>
        <w:rPr>
          <w:rFonts w:ascii="Arial" w:cs="Arial" w:eastAsia="Arial" w:hAnsi="Arial"/>
          <w:i/>
          <w:iCs/>
          <w:color w:val="555555"/>
          <w:sz w:val="20"/>
          <w:szCs w:val="20"/>
        </w:rPr>
        <w:t xml:space="preserve">Department of Biomedical Informatics &amp; Clinical AI Research Group</w:t>
      </w:r>
    </w:p>
    <w:p>
      <w:pPr>
        <w:spacing w:after="300"/>
        <w:jc w:val="center"/>
      </w:pPr>
      <w:r>
        <w:rPr>
          <w:rFonts w:ascii="Arial" w:cs="Arial" w:eastAsia="Arial" w:hAnsi="Arial"/>
          <w:i/>
          <w:iCs/>
          <w:color w:val="555555"/>
          <w:sz w:val="20"/>
          <w:szCs w:val="20"/>
        </w:rPr>
        <w:t xml:space="preserve">Submitted to the Journal of Biomedical Informatics • May 2025</w:t>
      </w:r>
    </w:p>
    <w:p>
      <w:pPr>
        <w:pBdr>
          <w:bottom w:val="single" w:color="1a1a2e" w:sz="12" w:space="1"/>
        </w:pBdr>
        <w:spacing w:after="240"/>
      </w:pPr>
      <w:r>
        <w:rPr>
          <w:rFonts w:ascii="Arial" w:cs="Arial" w:eastAsia="Arial" w:hAnsi="Arial"/>
          <w:sz w:val="20"/>
          <w:szCs w:val="20"/>
        </w:rPr>
        <w:t xml:space="preserve"/>
      </w:r>
    </w:p>
    <w:p>
      <w:pPr>
        <w:spacing w:after="120" w:before="0"/>
        <w:jc w:val="center"/>
      </w:pPr>
      <w:r>
        <w:rPr>
          <w:rFonts w:ascii="Arial" w:cs="Arial" w:eastAsia="Arial" w:hAnsi="Arial"/>
          <w:b/>
          <w:bCs/>
          <w:color w:val="1a1a2e"/>
          <w:sz w:val="22"/>
          <w:szCs w:val="22"/>
        </w:rPr>
        <w:t xml:space="preserve">Abstract</w:t>
      </w:r>
    </w:p>
    <w:p>
      <w:pPr>
        <w:spacing w:after="120" w:line="276"/>
        <w:ind w:left="720" w:right="720"/>
        <w:jc w:val="both"/>
      </w:pPr>
      <w:r>
        <w:rPr>
          <w:rFonts w:ascii="Arial" w:cs="Arial" w:eastAsia="Arial" w:hAnsi="Arial"/>
          <w:sz w:val="19"/>
          <w:szCs w:val="19"/>
        </w:rPr>
        <w:t xml:space="preserve">Early and accurate prediction of in-hospital mortality for intensive care unit (ICU) patients remains a pivotal yet challenging clinical problem. Traditional severity scores such as SAPS-II and SOFA summarise patient state at a single point in time, discarding the rich temporal dynamics embedded in continuously collected vital signs. In this work we systematically compare two deep sequence models—a Bidirectional LSTM with additive temporal attention (BiLSTM-Attn) and a full implementation of the Temporal Fusion Transformer (TFT)—for 48-hour in-hospital mortality prediction using five vital signs (heart rate, peripheral oxygen saturation, systolic, diastolic, and mean arterial blood pressure) extracted from the MIMIC-III clinical database. We design a complete data pipeline that handles hourly resampling, physiological outlier removal, and forward-fill imputation over 48-hour windows. Both models are trained with weighted sampling and class-balanced binary cross-entropy to address the approximately 12% mortality rate. On a held-out test set our TFT achieves an AUROC of 0.884 and AUPRC of 0.513, outperforming BiLSTM-Attn (AUROC 0.871), XGBoost (0.837), and the SAPS-II clinical score (0.762). An ablation study confirms that variable selection networks and interpretable multi-head attention are the primary contributors to TFT’s advantage. Per-feature variable importance weights surface SpO2 and mean arterial pressure as the most predictive signals, consistent with established clinical knowledge. Our code and pre-processing pipeline are released publicly to support reproducible ICU research.</w:t>
      </w:r>
    </w:p>
    <w:p>
      <w:pPr>
        <w:spacing w:after="200"/>
        <w:ind w:left="720" w:right="720"/>
      </w:pPr>
      <w:r>
        <w:rPr>
          <w:rFonts w:ascii="Arial" w:cs="Arial" w:eastAsia="Arial" w:hAnsi="Arial"/>
          <w:b/>
          <w:bCs/>
          <w:sz w:val="19"/>
          <w:szCs w:val="19"/>
        </w:rPr>
        <w:t xml:space="preserve">Keywords: </w:t>
      </w:r>
      <w:r>
        <w:rPr>
          <w:rFonts w:ascii="Arial" w:cs="Arial" w:eastAsia="Arial" w:hAnsi="Arial"/>
          <w:i/>
          <w:iCs/>
          <w:sz w:val="19"/>
          <w:szCs w:val="19"/>
        </w:rPr>
        <w:t xml:space="preserve">ICU mortality prediction, MIMIC-III, Temporal Fusion Transformer, Bidirectional LSTM, vital signs, clinical time series, deep learning, interpretability</w:t>
      </w:r>
    </w:p>
    <w:p>
      <w:pPr>
        <w:pBdr>
          <w:bottom w:val="single" w:color="dde3f4" w:sz="4" w:space="1"/>
        </w:pBdr>
        <w:spacing w:after="200"/>
      </w:pPr>
      <w:r>
        <w:rPr>
          <w:rFonts w:ascii="Arial" w:cs="Arial" w:eastAsia="Arial" w:hAnsi="Arial"/>
          <w:sz w:val="20"/>
          <w:szCs w:val="20"/>
        </w:rPr>
        <w:t xml:space="preserve"/>
      </w:r>
    </w:p>
    <w:p>
      <w:pPr>
        <w:pStyle w:val="Heading1"/>
        <w:pBdr>
          <w:bottom w:val="single" w:color="dde3f4" w:sz="4" w:space="4"/>
        </w:pBdr>
        <w:spacing w:after="120" w:before="300"/>
      </w:pPr>
      <w:r>
        <w:rPr>
          <w:rFonts w:ascii="Arial" w:cs="Arial" w:eastAsia="Arial" w:hAnsi="Arial"/>
          <w:b/>
          <w:bCs/>
          <w:color w:val="1a1a2e"/>
          <w:sz w:val="26"/>
          <w:szCs w:val="26"/>
        </w:rPr>
        <w:t xml:space="preserve">1. Introduction</w:t>
      </w:r>
    </w:p>
    <w:p>
      <w:pPr>
        <w:spacing w:after="140" w:line="276"/>
        <w:jc w:val="both"/>
      </w:pPr>
      <w:r>
        <w:rPr>
          <w:rFonts w:ascii="Arial" w:cs="Arial" w:eastAsia="Arial" w:hAnsi="Arial"/>
          <w:sz w:val="20"/>
          <w:szCs w:val="20"/>
        </w:rPr>
        <w:t xml:space="preserve">Intensive care units collectively monitor millions of critically ill patients each year, generating continuous streams of physiological measurements. Timely identification of patients at elevated mortality risk allows clinicians to escalate interventions, optimise resource allocation, and initiate goals-of-care discussions before deterioration becomes irreversible [1]. Despite decades of clinical scoring research, standard severity indices—APACHE-II [2], SAPS-II [3], and SOFA [4]—remain widely used, yet they condense a patient’s condition into a scalar computed from a single time point, discarding the temporal trajectory that often carries the most prognostic information.</w:t>
      </w:r>
    </w:p>
    <w:p>
      <w:pPr>
        <w:spacing w:after="140" w:line="276"/>
        <w:jc w:val="both"/>
      </w:pPr>
      <w:r>
        <w:rPr>
          <w:rFonts w:ascii="Arial" w:cs="Arial" w:eastAsia="Arial" w:hAnsi="Arial"/>
          <w:sz w:val="20"/>
          <w:szCs w:val="20"/>
        </w:rPr>
        <w:t xml:space="preserve">The public availability of MIMIC-III [5], a de-identified critical care database comprising over 60,000 ICU admissions from Beth Israel Deaconess Medical Center, has catalysed a substantial body of machine learning research. Early work employed hand-engineered features with logistic regression [6] or gradient boosting [7]. Recurrent neural networks, particularly LSTMs, subsequently demonstrated that modelling the temporal dynamics of vital signs and laboratory values directly can yield material AUROC improvements over static baselines [8, 9]. More recently, attention mechanisms have been incorporated either as soft-attention aggregators atop LSTM encoders [10] or as standalone transformer architectures [11, 12], extending predictive performance while also surfacing clinically interpretable feature weights.</w:t>
      </w:r>
    </w:p>
    <w:p>
      <w:pPr>
        <w:spacing w:after="140" w:line="276"/>
        <w:jc w:val="both"/>
      </w:pPr>
      <w:r>
        <w:rPr>
          <w:rFonts w:ascii="Arial" w:cs="Arial" w:eastAsia="Arial" w:hAnsi="Arial"/>
          <w:sz w:val="20"/>
          <w:szCs w:val="20"/>
        </w:rPr>
        <w:t xml:space="preserve">The Temporal Fusion Transformer (TFT) [13], originally proposed for multi-horizon time series forecasting, combines gated residual networks, variable selection, an LSTM sequence encoder, and interpretable multi-head self-attention into a single end-to-end architecture. Its explicit variable selection mechanism produces per-timestep feature importance scores that are directly useful for clinical audit and explanation. Despite these appealing properties, TFT has not been thoroughly evaluated on ICU mortality prediction with a focus on raw vital-sign inputs.</w:t>
      </w:r>
    </w:p>
    <w:p>
      <w:pPr>
        <w:spacing w:after="140" w:line="276"/>
        <w:jc w:val="both"/>
      </w:pPr>
      <w:r>
        <w:rPr>
          <w:rFonts w:ascii="Arial" w:cs="Arial" w:eastAsia="Arial" w:hAnsi="Arial"/>
          <w:sz w:val="20"/>
          <w:szCs w:val="20"/>
        </w:rPr>
        <w:t xml:space="preserve">In this paper we make the following contributions:</w:t>
      </w:r>
    </w:p>
    <w:p>
      <w:pPr>
        <w:pStyle w:val="ListParagraph"/>
        <w:numPr>
          <w:ilvl w:val="0"/>
          <w:numId w:val="2"/>
        </w:numPr>
        <w:spacing w:after="80" w:line="276"/>
      </w:pPr>
      <w:r>
        <w:rPr>
          <w:rFonts w:ascii="Arial" w:cs="Arial" w:eastAsia="Arial" w:hAnsi="Arial"/>
          <w:sz w:val="20"/>
          <w:szCs w:val="20"/>
        </w:rPr>
        <w:t xml:space="preserve">We develop a reproducible MIMIC-III pipeline that extracts five haemodynamic vital signs over 48-hour ICU admission windows, applies physiological bounds filtering, hourly resampling, and forward-fill/median imputation.</w:t>
      </w:r>
    </w:p>
    <w:p>
      <w:pPr>
        <w:pStyle w:val="ListParagraph"/>
        <w:numPr>
          <w:ilvl w:val="0"/>
          <w:numId w:val="2"/>
        </w:numPr>
        <w:spacing w:after="80" w:line="276"/>
      </w:pPr>
      <w:r>
        <w:rPr>
          <w:rFonts w:ascii="Arial" w:cs="Arial" w:eastAsia="Arial" w:hAnsi="Arial"/>
          <w:sz w:val="20"/>
          <w:szCs w:val="20"/>
        </w:rPr>
        <w:t xml:space="preserve">We implement both a Bidirectional LSTM with additive temporal attention and a complete Temporal Fusion Transformer from scratch in PyTorch, trained with class-balanced strategies for the imbalanced mortality outcome.</w:t>
      </w:r>
    </w:p>
    <w:p>
      <w:pPr>
        <w:pStyle w:val="ListParagraph"/>
        <w:numPr>
          <w:ilvl w:val="0"/>
          <w:numId w:val="2"/>
        </w:numPr>
        <w:spacing w:after="80" w:line="276"/>
      </w:pPr>
      <w:r>
        <w:rPr>
          <w:rFonts w:ascii="Arial" w:cs="Arial" w:eastAsia="Arial" w:hAnsi="Arial"/>
          <w:sz w:val="20"/>
          <w:szCs w:val="20"/>
        </w:rPr>
        <w:t xml:space="preserve">We conduct a comprehensive evaluation including AUROC, AUPRC, Brier score, an ablation study across TFT sub-components, and a per-feature variable importance analysis.</w:t>
      </w:r>
    </w:p>
    <w:p>
      <w:pPr>
        <w:pStyle w:val="ListParagraph"/>
        <w:numPr>
          <w:ilvl w:val="0"/>
          <w:numId w:val="2"/>
        </w:numPr>
        <w:spacing w:after="200" w:line="276"/>
      </w:pPr>
      <w:r>
        <w:rPr>
          <w:rFonts w:ascii="Arial" w:cs="Arial" w:eastAsia="Arial" w:hAnsi="Arial"/>
          <w:sz w:val="20"/>
          <w:szCs w:val="20"/>
        </w:rPr>
        <w:t xml:space="preserve">We benchmark both models against SAPS-II, SOFA, logistic regression, random forest, and XGBoost to contextualise performance gains over clinical baselines.</w:t>
      </w:r>
    </w:p>
    <w:p>
      <w:pPr>
        <w:pStyle w:val="Heading1"/>
        <w:pBdr>
          <w:bottom w:val="single" w:color="dde3f4" w:sz="4" w:space="4"/>
        </w:pBdr>
        <w:spacing w:after="120" w:before="300"/>
      </w:pPr>
      <w:r>
        <w:rPr>
          <w:rFonts w:ascii="Arial" w:cs="Arial" w:eastAsia="Arial" w:hAnsi="Arial"/>
          <w:b/>
          <w:bCs/>
          <w:color w:val="1a1a2e"/>
          <w:sz w:val="26"/>
          <w:szCs w:val="26"/>
        </w:rPr>
        <w:t xml:space="preserve">2. Related Work</w:t>
      </w:r>
    </w:p>
    <w:p>
      <w:pPr>
        <w:pStyle w:val="Heading2"/>
        <w:spacing w:after="80" w:before="220"/>
      </w:pPr>
      <w:r>
        <w:rPr>
          <w:rFonts w:ascii="Arial" w:cs="Arial" w:eastAsia="Arial" w:hAnsi="Arial"/>
          <w:b/>
          <w:bCs/>
          <w:color w:val="2d2d6e"/>
          <w:sz w:val="22"/>
          <w:szCs w:val="22"/>
        </w:rPr>
        <w:t xml:space="preserve">2.1 Clinical Severity Scores</w:t>
      </w:r>
    </w:p>
    <w:p>
      <w:pPr>
        <w:spacing w:after="140" w:line="276"/>
        <w:jc w:val="both"/>
      </w:pPr>
      <w:r>
        <w:rPr>
          <w:rFonts w:ascii="Arial" w:cs="Arial" w:eastAsia="Arial" w:hAnsi="Arial"/>
          <w:sz w:val="20"/>
          <w:szCs w:val="20"/>
        </w:rPr>
        <w:t xml:space="preserve">APACHE-II [2] introduced the paradigm of multi-variable ICU scoring in 1985, followed by SAPS-II [3] in 1993 and the sequential organ failure assessment (SOFA) score [4] in 1996. These scores are computed from the worst physiological values within the first 24 hours of ICU admission. Published AUROCs for in-hospital mortality prediction cluster around 0.74–0.79 [14], constituting an important clinical baseline against which data-driven approaches must be measured.</w:t>
      </w:r>
    </w:p>
    <w:p>
      <w:pPr>
        <w:pStyle w:val="Heading2"/>
        <w:spacing w:after="80" w:before="220"/>
      </w:pPr>
      <w:r>
        <w:rPr>
          <w:rFonts w:ascii="Arial" w:cs="Arial" w:eastAsia="Arial" w:hAnsi="Arial"/>
          <w:b/>
          <w:bCs/>
          <w:color w:val="2d2d6e"/>
          <w:sz w:val="22"/>
          <w:szCs w:val="22"/>
        </w:rPr>
        <w:t xml:space="preserve">2.2 Machine Learning on MIMIC-III</w:t>
      </w:r>
    </w:p>
    <w:p>
      <w:pPr>
        <w:spacing w:after="140" w:line="276"/>
        <w:jc w:val="both"/>
      </w:pPr>
      <w:r>
        <w:rPr>
          <w:rFonts w:ascii="Arial" w:cs="Arial" w:eastAsia="Arial" w:hAnsi="Arial"/>
          <w:sz w:val="20"/>
          <w:szCs w:val="20"/>
        </w:rPr>
        <w:t xml:space="preserve">Ghassemi et al. [6] were among the first to apply probabilistic topic models to clinical notes from MIMIC combined with physiological time series, achieving AUROC 0.80 on mortality prediction. Purushotham et al. [7] conducted a comprehensive benchmark of deep learning architectures—including vanilla LSTMs, GRUs, and autoencoders—on MIMIC-III, reporting AUROCs in the range 0.83–0.87 depending on the feature set and prediction horizon. The MIMIC-III clinical benchmarks of Harutyunyan et al. [8] defined standardised train/test splits and task formulations (including in-hospital mortality, length-of-stay, and phenotyping) that have become a reference for model comparisons.</w:t>
      </w:r>
    </w:p>
    <w:p>
      <w:pPr>
        <w:spacing w:after="140" w:line="276"/>
        <w:jc w:val="both"/>
      </w:pPr>
      <w:r>
        <w:rPr>
          <w:rFonts w:ascii="Arial" w:cs="Arial" w:eastAsia="Arial" w:hAnsi="Arial"/>
          <w:sz w:val="20"/>
          <w:szCs w:val="20"/>
        </w:rPr>
        <w:t xml:space="preserve">Handling irregular sampling is a recurring challenge in clinical time series. Che et al. [15] introduced GRU-D, augmenting gated recurrent units with learnable decay parameters that model the informative missingness pattern implicit in sparse clinical measurements, achieving AUROC 0.858. Shukla and Marlin [16] proposed interpolation-prediction networks that embed irregular observations through learned kernel functions before feeding a downstream classifier, reporting competitive performance at lower computational cost.</w:t>
      </w:r>
    </w:p>
    <w:p>
      <w:pPr>
        <w:pStyle w:val="Heading2"/>
        <w:spacing w:after="80" w:before="220"/>
      </w:pPr>
      <w:r>
        <w:rPr>
          <w:rFonts w:ascii="Arial" w:cs="Arial" w:eastAsia="Arial" w:hAnsi="Arial"/>
          <w:b/>
          <w:bCs/>
          <w:color w:val="2d2d6e"/>
          <w:sz w:val="22"/>
          <w:szCs w:val="22"/>
        </w:rPr>
        <w:t xml:space="preserve">2.3 Attention Mechanisms and Transformers</w:t>
      </w:r>
    </w:p>
    <w:p>
      <w:pPr>
        <w:spacing w:after="140" w:line="276"/>
        <w:jc w:val="both"/>
      </w:pPr>
      <w:r>
        <w:rPr>
          <w:rFonts w:ascii="Arial" w:cs="Arial" w:eastAsia="Arial" w:hAnsi="Arial"/>
          <w:sz w:val="20"/>
          <w:szCs w:val="20"/>
        </w:rPr>
        <w:t xml:space="preserve">Kaji et al. [10] demonstrated that additive attention over LSTM hidden states improves both predictive performance and clinical interpretability, with attention weights correlating with clinician-identified critical time windows. Sheikhalishahi et al. [11] benchmarked multiple architectures on the eICU collaborative research database, finding transformer-based models competitive with recurrent networks but more sensitive to hyperparameter choices. The TFT of Lim et al. [13] won the M5 Forecasting Competition and has since been applied to energy demand and financial forecasting; its use in clinical tabular-temporal settings remains underexplored.</w:t>
      </w:r>
    </w:p>
    <w:p>
      <w:pPr>
        <w:pStyle w:val="Heading2"/>
        <w:spacing w:after="80" w:before="220"/>
      </w:pPr>
      <w:r>
        <w:rPr>
          <w:rFonts w:ascii="Arial" w:cs="Arial" w:eastAsia="Arial" w:hAnsi="Arial"/>
          <w:b/>
          <w:bCs/>
          <w:color w:val="2d2d6e"/>
          <w:sz w:val="22"/>
          <w:szCs w:val="22"/>
        </w:rPr>
        <w:t xml:space="preserve">2.4 Interpretability in Clinical AI</w:t>
      </w:r>
    </w:p>
    <w:p>
      <w:pPr>
        <w:spacing w:after="140" w:line="276"/>
        <w:jc w:val="both"/>
      </w:pPr>
      <w:r>
        <w:rPr>
          <w:rFonts w:ascii="Arial" w:cs="Arial" w:eastAsia="Arial" w:hAnsi="Arial"/>
          <w:sz w:val="20"/>
          <w:szCs w:val="20"/>
        </w:rPr>
        <w:t xml:space="preserve">Regulatory guidance (e.g., the EU AI Act) and clinical adoption imperatives increasingly require predictive models to provide explanations alongside predictions [17]. Gradient-based attribution methods such as Integrated Gradients [18] and SHAP [19] have been applied post-hoc to LSTM mortality models, but architectures with built-in attention weights offer a more natural and computationally lighter path to interpretability. Our TFT implementation produces both per-timestep and per-feature importance scores as a first-class output.</w:t>
      </w:r>
    </w:p>
    <w:p>
      <w:pPr>
        <w:pStyle w:val="Heading1"/>
        <w:pBdr>
          <w:bottom w:val="single" w:color="dde3f4" w:sz="4" w:space="4"/>
        </w:pBdr>
        <w:spacing w:after="120" w:before="300"/>
      </w:pPr>
      <w:r>
        <w:rPr>
          <w:rFonts w:ascii="Arial" w:cs="Arial" w:eastAsia="Arial" w:hAnsi="Arial"/>
          <w:b/>
          <w:bCs/>
          <w:color w:val="1a1a2e"/>
          <w:sz w:val="26"/>
          <w:szCs w:val="26"/>
        </w:rPr>
        <w:t xml:space="preserve">3. Dataset and Preprocessing</w:t>
      </w:r>
    </w:p>
    <w:p>
      <w:pPr>
        <w:pStyle w:val="Heading2"/>
        <w:spacing w:after="80" w:before="220"/>
      </w:pPr>
      <w:r>
        <w:rPr>
          <w:rFonts w:ascii="Arial" w:cs="Arial" w:eastAsia="Arial" w:hAnsi="Arial"/>
          <w:b/>
          <w:bCs/>
          <w:color w:val="2d2d6e"/>
          <w:sz w:val="22"/>
          <w:szCs w:val="22"/>
        </w:rPr>
        <w:t xml:space="preserve">3.1 MIMIC-III</w:t>
      </w:r>
    </w:p>
    <w:p>
      <w:pPr>
        <w:spacing w:after="140" w:line="276"/>
        <w:jc w:val="both"/>
      </w:pPr>
      <w:r>
        <w:rPr>
          <w:rFonts w:ascii="Arial" w:cs="Arial" w:eastAsia="Arial" w:hAnsi="Arial"/>
          <w:sz w:val="20"/>
          <w:szCs w:val="20"/>
        </w:rPr>
        <w:t xml:space="preserve">We use MIMIC-III v1.4 [5], a freely available (upon credentialed registration) de-identified database of adult ICU patients admitted to Beth Israel Deaconess Medical Center between 2001 and 2012. The database contains 61,532 ICU stays from 46,476 patients, with in-hospital mortality flagged in the ADMISSIONS table (HOSPITAL_EXPIRE_FLAG). We retain only the first ICU stay per hospitalisation and require a stay of at least 48 hours to ensure a complete observation window. This yields 38,221 stays with an overall in-hospital mortality rate of 11.6%.</w:t>
      </w:r>
    </w:p>
    <w:p>
      <w:pPr>
        <w:spacing w:after="140" w:line="276"/>
        <w:jc w:val="both"/>
      </w:pPr>
      <w:r>
        <w:rPr>
          <w:rFonts w:ascii="Arial" w:cs="Arial" w:eastAsia="Arial" w:hAnsi="Arial"/>
          <w:sz w:val="20"/>
          <w:szCs w:val="20"/>
        </w:rPr>
        <w:t xml:space="preserve">Table 1 summarises the dataset characteristics. Vital signs are extracted from CHARTEVENTS using CareVue (CV) and MetaVision (MV) item IDs: heart rate (CV: 211, MV: 220045), peripheral SpO2 (CV: 646, MV: 220277), systolic BP (CV: 51/442/455/6701, MV: 220179/220050), diastolic BP (CV: 8368/8440/8441/8555, MV: 220180/220051), and mean arterial pressure (CV: 456/52/6702/443, MV: 220052/220181).</w:t>
      </w:r>
    </w:p>
    <w:p>
      <w:pPr>
        <w:spacing w:after="0" w:before="120"/>
      </w:pPr>
      <w:r>
        <w:rPr>
          <w:rFonts w:ascii="Arial" w:cs="Arial" w:eastAsia="Arial" w:hAnsi="Arial"/>
          <w:sz w:val="20"/>
          <w:szCs w:val="20"/>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400"/>
        <w:gridCol w:w="4248"/>
      </w:tblGrid>
      <w:tr>
        <w:trPr>
          <w:tblHeader/>
        </w:trPr>
        <w:tc>
          <w:tcPr>
            <w:tcW w:type="dxa" w:w="5400"/>
            <w:tcBorders>
              <w:top w:val="single" w:color="AAAAAA" w:sz="4"/>
              <w:left w:val="single" w:color="AAAAAA" w:sz="4"/>
              <w:bottom w:val="single" w:color="AAAAAA" w:sz="4"/>
              <w:right w:val="single" w:color="AAAAAA" w:sz="4"/>
            </w:tcBorders>
            <w:shd w:fill="1a1a2e"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FFFFFF"/>
                <w:sz w:val="18"/>
                <w:szCs w:val="18"/>
              </w:rPr>
              <w:t xml:space="preserve">Statistic</w:t>
            </w:r>
          </w:p>
        </w:tc>
        <w:tc>
          <w:tcPr>
            <w:tcW w:type="dxa" w:w="4248"/>
            <w:tcBorders>
              <w:top w:val="single" w:color="AAAAAA" w:sz="4"/>
              <w:left w:val="single" w:color="AAAAAA" w:sz="4"/>
              <w:bottom w:val="single" w:color="AAAAAA" w:sz="4"/>
              <w:right w:val="single" w:color="AAAAAA" w:sz="4"/>
            </w:tcBorders>
            <w:shd w:fill="1a1a2e"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8"/>
                <w:szCs w:val="18"/>
              </w:rPr>
              <w:t xml:space="preserve">Value</w:t>
            </w:r>
          </w:p>
        </w:tc>
      </w:tr>
      <w:tr>
        <w:trPr>
          <w:tblHeader w:val="false"/>
        </w:trPr>
        <w:tc>
          <w:tcPr>
            <w:tcW w:type="dxa" w:w="54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Total ICU stays (MIMIC-III v1.4)</w:t>
            </w:r>
          </w:p>
        </w:tc>
        <w:tc>
          <w:tcPr>
            <w:tcW w:type="dxa" w:w="4248"/>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61,532</w:t>
            </w:r>
          </w:p>
        </w:tc>
      </w:tr>
      <w:tr>
        <w:trPr>
          <w:tblHeader w:val="false"/>
        </w:trPr>
        <w:tc>
          <w:tcPr>
            <w:tcW w:type="dxa" w:w="540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Stays with &gt;= 48 h LOS</w:t>
            </w:r>
          </w:p>
        </w:tc>
        <w:tc>
          <w:tcPr>
            <w:tcW w:type="dxa" w:w="4248"/>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38,221</w:t>
            </w:r>
          </w:p>
        </w:tc>
      </w:tr>
      <w:tr>
        <w:trPr>
          <w:tblHeader w:val="false"/>
        </w:trPr>
        <w:tc>
          <w:tcPr>
            <w:tcW w:type="dxa" w:w="54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Unique patients</w:t>
            </w:r>
          </w:p>
        </w:tc>
        <w:tc>
          <w:tcPr>
            <w:tcW w:type="dxa" w:w="4248"/>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46,476</w:t>
            </w:r>
          </w:p>
        </w:tc>
      </w:tr>
      <w:tr>
        <w:trPr>
          <w:tblHeader w:val="false"/>
        </w:trPr>
        <w:tc>
          <w:tcPr>
            <w:tcW w:type="dxa" w:w="540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In-hospital mortality rate</w:t>
            </w:r>
          </w:p>
        </w:tc>
        <w:tc>
          <w:tcPr>
            <w:tcW w:type="dxa" w:w="4248"/>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11.6%</w:t>
            </w:r>
          </w:p>
        </w:tc>
      </w:tr>
      <w:tr>
        <w:trPr>
          <w:tblHeader w:val="false"/>
        </w:trPr>
        <w:tc>
          <w:tcPr>
            <w:tcW w:type="dxa" w:w="54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Mean ICU LOS (days)</w:t>
            </w:r>
          </w:p>
        </w:tc>
        <w:tc>
          <w:tcPr>
            <w:tcW w:type="dxa" w:w="4248"/>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3.8 +/- 5.1</w:t>
            </w:r>
          </w:p>
        </w:tc>
      </w:tr>
      <w:tr>
        <w:trPr>
          <w:tblHeader w:val="false"/>
        </w:trPr>
        <w:tc>
          <w:tcPr>
            <w:tcW w:type="dxa" w:w="540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Mean age (years)</w:t>
            </w:r>
          </w:p>
        </w:tc>
        <w:tc>
          <w:tcPr>
            <w:tcW w:type="dxa" w:w="4248"/>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63.2 +/- 16.8</w:t>
            </w:r>
          </w:p>
        </w:tc>
      </w:tr>
      <w:tr>
        <w:trPr>
          <w:tblHeader w:val="false"/>
        </w:trPr>
        <w:tc>
          <w:tcPr>
            <w:tcW w:type="dxa" w:w="54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Train / Validation / Test split</w:t>
            </w:r>
          </w:p>
        </w:tc>
        <w:tc>
          <w:tcPr>
            <w:tcW w:type="dxa" w:w="4248"/>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70% / 15% / 15%</w:t>
            </w:r>
          </w:p>
        </w:tc>
      </w:tr>
      <w:tr>
        <w:trPr>
          <w:tblHeader w:val="false"/>
        </w:trPr>
        <w:tc>
          <w:tcPr>
            <w:tcW w:type="dxa" w:w="540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Input features</w:t>
            </w:r>
          </w:p>
        </w:tc>
        <w:tc>
          <w:tcPr>
            <w:tcW w:type="dxa" w:w="4248"/>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HR, SpO2, SBP, DBP, MAP</w:t>
            </w:r>
          </w:p>
        </w:tc>
      </w:tr>
      <w:tr>
        <w:trPr>
          <w:tblHeader w:val="false"/>
        </w:trPr>
        <w:tc>
          <w:tcPr>
            <w:tcW w:type="dxa" w:w="54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Temporal resolution</w:t>
            </w:r>
          </w:p>
        </w:tc>
        <w:tc>
          <w:tcPr>
            <w:tcW w:type="dxa" w:w="4248"/>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1-hour bins</w:t>
            </w:r>
          </w:p>
        </w:tc>
      </w:tr>
      <w:tr>
        <w:trPr>
          <w:tblHeader w:val="false"/>
        </w:trPr>
        <w:tc>
          <w:tcPr>
            <w:tcW w:type="dxa" w:w="540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Pre-imputation missing rate</w:t>
            </w:r>
          </w:p>
        </w:tc>
        <w:tc>
          <w:tcPr>
            <w:tcW w:type="dxa" w:w="4248"/>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~34%</w:t>
            </w:r>
          </w:p>
        </w:tc>
      </w:tr>
    </w:tbl>
    <w:p>
      <w:pPr>
        <w:spacing w:after="200" w:before="60"/>
        <w:jc w:val="center"/>
      </w:pPr>
      <w:r>
        <w:rPr>
          <w:rFonts w:ascii="Arial" w:cs="Arial" w:eastAsia="Arial" w:hAnsi="Arial"/>
          <w:i/>
          <w:iCs/>
          <w:color w:val="555555"/>
          <w:sz w:val="17"/>
          <w:szCs w:val="17"/>
        </w:rPr>
        <w:t xml:space="preserve">Table 1: MIMIC-III dataset statistics after quality filtering and window selection.</w:t>
      </w:r>
    </w:p>
    <w:p>
      <w:pPr>
        <w:pStyle w:val="Heading2"/>
        <w:spacing w:after="80" w:before="220"/>
      </w:pPr>
      <w:r>
        <w:rPr>
          <w:rFonts w:ascii="Arial" w:cs="Arial" w:eastAsia="Arial" w:hAnsi="Arial"/>
          <w:b/>
          <w:bCs/>
          <w:color w:val="2d2d6e"/>
          <w:sz w:val="22"/>
          <w:szCs w:val="22"/>
        </w:rPr>
        <w:t xml:space="preserve">3.2 Preprocessing Pipeline</w:t>
      </w:r>
    </w:p>
    <w:p>
      <w:pPr>
        <w:spacing w:after="140" w:line="276"/>
        <w:jc w:val="both"/>
      </w:pPr>
      <w:r>
        <w:rPr>
          <w:rFonts w:ascii="Arial" w:cs="Arial" w:eastAsia="Arial" w:hAnsi="Arial"/>
          <w:sz w:val="20"/>
          <w:szCs w:val="20"/>
        </w:rPr>
        <w:t xml:space="preserve">For each ICU stay we extract all charted values within the first 48 hours from ICU admission (ICUSTAYS.INTIME). Values outside physiological plausibility bounds (e.g., SpO2 outside [50, 100]%, heart rate outside [0, 300] bpm) are discarded as documentation errors. Remaining observations are binned into hourly intervals by averaging all values within each one-hour window. Missingness in the resulting 48 × 5 matrix is addressed with forward-fill followed by backward-fill; any remaining gaps are filled with the per-stay median, falling back to zero if no valid observations exist. The overall missing-data rate before imputation is approximately 34%, consistent with prior work on MIMIC-III [8].</w:t>
      </w:r>
    </w:p>
    <w:p>
      <w:pPr>
        <w:spacing w:after="140" w:line="276"/>
        <w:jc w:val="both"/>
      </w:pPr>
      <w:r>
        <w:rPr>
          <w:rFonts w:ascii="Arial" w:cs="Arial" w:eastAsia="Arial" w:hAnsi="Arial"/>
          <w:sz w:val="20"/>
          <w:szCs w:val="20"/>
        </w:rPr>
        <w:t xml:space="preserve">All features are z-score normalised using training-set mean and standard deviation computed per feature across all time steps. Normalisation parameters are stored alongside model checkpoints to enable prospective deployment without data leakage. The final split is 70 / 15 / 15% (train / validation / test), stratified by the mortality label.</w:t>
      </w:r>
    </w:p>
    <w:p>
      <w:pPr>
        <w:pStyle w:val="Heading1"/>
        <w:pBdr>
          <w:bottom w:val="single" w:color="dde3f4" w:sz="4" w:space="4"/>
        </w:pBdr>
        <w:spacing w:after="120" w:before="300"/>
      </w:pPr>
      <w:r>
        <w:rPr>
          <w:rFonts w:ascii="Arial" w:cs="Arial" w:eastAsia="Arial" w:hAnsi="Arial"/>
          <w:b/>
          <w:bCs/>
          <w:color w:val="1a1a2e"/>
          <w:sz w:val="26"/>
          <w:szCs w:val="26"/>
        </w:rPr>
        <w:t xml:space="preserve">4. Methods</w:t>
      </w:r>
    </w:p>
    <w:p>
      <w:pPr>
        <w:pStyle w:val="Heading2"/>
        <w:spacing w:after="80" w:before="220"/>
      </w:pPr>
      <w:r>
        <w:rPr>
          <w:rFonts w:ascii="Arial" w:cs="Arial" w:eastAsia="Arial" w:hAnsi="Arial"/>
          <w:b/>
          <w:bCs/>
          <w:color w:val="2d2d6e"/>
          <w:sz w:val="22"/>
          <w:szCs w:val="22"/>
        </w:rPr>
        <w:t xml:space="preserve">4.1 Problem Formulation</w:t>
      </w:r>
    </w:p>
    <w:p>
      <w:pPr>
        <w:spacing w:after="140" w:line="276"/>
        <w:jc w:val="both"/>
      </w:pPr>
      <w:r>
        <w:rPr>
          <w:rFonts w:ascii="Arial" w:cs="Arial" w:eastAsia="Arial" w:hAnsi="Arial"/>
          <w:sz w:val="20"/>
          <w:szCs w:val="20"/>
        </w:rPr>
        <w:t xml:space="preserve">Let x = {x_t}_(t=1)^T denote the multivariate vital-sign sequence for a single ICU stay, where x_t is a 5-dimensional vector at hour t and T = 48. The target y in {0, 1} indicates in-hospital mortality. Both models learn a function f : R^(T x 5) -&gt; [0, 1] that maps the full 48-hour sequence to a mortality probability, trained under binary cross-entropy loss with a positive-class weight w_+ = N_neg / N_pos to counteract class imbalance (~7.6 for MIMIC-III).</w:t>
      </w:r>
    </w:p>
    <w:p>
      <w:pPr>
        <w:pStyle w:val="Heading2"/>
        <w:spacing w:after="80" w:before="220"/>
      </w:pPr>
      <w:r>
        <w:rPr>
          <w:rFonts w:ascii="Arial" w:cs="Arial" w:eastAsia="Arial" w:hAnsi="Arial"/>
          <w:b/>
          <w:bCs/>
          <w:color w:val="2d2d6e"/>
          <w:sz w:val="22"/>
          <w:szCs w:val="22"/>
        </w:rPr>
        <w:t xml:space="preserve">4.2 Bidirectional LSTM with Temporal Attention (BiLSTM-Attn)</w:t>
      </w:r>
    </w:p>
    <w:p>
      <w:pPr>
        <w:spacing w:after="140" w:line="276"/>
        <w:jc w:val="both"/>
      </w:pPr>
      <w:r>
        <w:rPr>
          <w:rFonts w:ascii="Arial" w:cs="Arial" w:eastAsia="Arial" w:hAnsi="Arial"/>
          <w:sz w:val="20"/>
          <w:szCs w:val="20"/>
        </w:rPr>
        <w:t xml:space="preserve">The BiLSTM-Attn model applies a linear input projection to dimension H, passes the result through a two-layer bidirectional LSTM (producing hidden states of dimension 2H at each time step), and aggregates the sequence with additive (Bahdanau-style) attention:</w:t>
      </w:r>
    </w:p>
    <w:p>
      <w:pPr>
        <w:spacing w:after="100" w:before="100"/>
        <w:jc w:val="center"/>
      </w:pPr>
      <w:r>
        <w:rPr>
          <w:rFonts w:ascii="Arial" w:cs="Arial" w:eastAsia="Arial" w:hAnsi="Arial"/>
          <w:i/>
          <w:iCs/>
          <w:sz w:val="20"/>
          <w:szCs w:val="20"/>
        </w:rPr>
        <w:t xml:space="preserve">e_t = v^T tanh(W h_t),     alpha_t = softmax(e)_t,     c = sum_t alpha_t h_t</w:t>
      </w:r>
    </w:p>
    <w:p>
      <w:pPr>
        <w:spacing w:after="140" w:line="276"/>
        <w:jc w:val="both"/>
      </w:pPr>
      <w:r>
        <w:rPr>
          <w:rFonts w:ascii="Arial" w:cs="Arial" w:eastAsia="Arial" w:hAnsi="Arial"/>
          <w:sz w:val="20"/>
          <w:szCs w:val="20"/>
        </w:rPr>
        <w:t xml:space="preserve">where h_t in R^(2H) is the bidirectional hidden state at step t, v in R^(2H) and W in R^(2H x 2H) are learned parameters, and c is the context vector passed to a two-layer MLP classifier. We use H = 128, dropout p = 0.3 applied between LSTM layers and before the classifier. Gradient clipping at max-norm 1.0 is applied throughout training. Total trainable parameters: 677K.</w:t>
      </w:r>
    </w:p>
    <w:p>
      <w:pPr>
        <w:pStyle w:val="Heading2"/>
        <w:spacing w:after="80" w:before="220"/>
      </w:pPr>
      <w:r>
        <w:rPr>
          <w:rFonts w:ascii="Arial" w:cs="Arial" w:eastAsia="Arial" w:hAnsi="Arial"/>
          <w:b/>
          <w:bCs/>
          <w:color w:val="2d2d6e"/>
          <w:sz w:val="22"/>
          <w:szCs w:val="22"/>
        </w:rPr>
        <w:t xml:space="preserve">4.3 Temporal Fusion Transformer (TFT)</w:t>
      </w:r>
    </w:p>
    <w:p>
      <w:pPr>
        <w:spacing w:after="140" w:line="276"/>
        <w:jc w:val="both"/>
      </w:pPr>
      <w:r>
        <w:rPr>
          <w:rFonts w:ascii="Arial" w:cs="Arial" w:eastAsia="Arial" w:hAnsi="Arial"/>
          <w:sz w:val="20"/>
          <w:szCs w:val="20"/>
        </w:rPr>
        <w:t xml:space="preserve">Our TFT implementation follows Lim et al. [13] adapted for binary classification. The architecture comprises five stages applied sequentially:</w:t>
      </w:r>
    </w:p>
    <w:p>
      <w:pPr>
        <w:pStyle w:val="ListParagraph"/>
        <w:numPr>
          <w:ilvl w:val="0"/>
          <w:numId w:val="3"/>
        </w:numPr>
        <w:spacing w:after="80" w:line="276"/>
      </w:pPr>
      <w:r>
        <w:rPr>
          <w:rFonts w:ascii="Arial" w:cs="Arial" w:eastAsia="Arial" w:hAnsi="Arial"/>
          <w:b/>
          <w:bCs/>
          <w:sz w:val="20"/>
          <w:szCs w:val="20"/>
        </w:rPr>
        <w:t xml:space="preserve">Input Embedding. </w:t>
      </w:r>
      <w:r>
        <w:rPr>
          <w:rFonts w:ascii="Arial" w:cs="Arial" w:eastAsia="Arial" w:hAnsi="Arial"/>
          <w:sz w:val="20"/>
          <w:szCs w:val="20"/>
        </w:rPr>
        <w:t xml:space="preserve">Each of the 5 vital features is projected independently to dimension d via a learned linear layer, producing a tensor of shape (B, T, 5, d).</w:t>
      </w:r>
    </w:p>
    <w:p>
      <w:pPr>
        <w:pStyle w:val="ListParagraph"/>
        <w:numPr>
          <w:ilvl w:val="0"/>
          <w:numId w:val="3"/>
        </w:numPr>
        <w:spacing w:after="80" w:line="276"/>
      </w:pPr>
      <w:r>
        <w:rPr>
          <w:rFonts w:ascii="Arial" w:cs="Arial" w:eastAsia="Arial" w:hAnsi="Arial"/>
          <w:b/>
          <w:bCs/>
          <w:sz w:val="20"/>
          <w:szCs w:val="20"/>
        </w:rPr>
        <w:t xml:space="preserve">Variable Selection Network (VSN). </w:t>
      </w:r>
      <w:r>
        <w:rPr>
          <w:rFonts w:ascii="Arial" w:cs="Arial" w:eastAsia="Arial" w:hAnsi="Arial"/>
          <w:sz w:val="20"/>
          <w:szCs w:val="20"/>
        </w:rPr>
        <w:t xml:space="preserve">Per-feature Gated Residual Networks (GRNs) transform each embedded feature, while a flat GRN on the concatenated embedding produces softmax selection weights over features. The weighted sum of per-feature representations gives shape (B, T, d). These weights form the interpretable variable importance scores.</w:t>
      </w:r>
    </w:p>
    <w:p>
      <w:pPr>
        <w:pStyle w:val="ListParagraph"/>
        <w:numPr>
          <w:ilvl w:val="0"/>
          <w:numId w:val="3"/>
        </w:numPr>
        <w:spacing w:after="80" w:line="276"/>
      </w:pPr>
      <w:r>
        <w:rPr>
          <w:rFonts w:ascii="Arial" w:cs="Arial" w:eastAsia="Arial" w:hAnsi="Arial"/>
          <w:b/>
          <w:bCs/>
          <w:sz w:val="20"/>
          <w:szCs w:val="20"/>
        </w:rPr>
        <w:t xml:space="preserve">LSTM Encoder. </w:t>
      </w:r>
      <w:r>
        <w:rPr>
          <w:rFonts w:ascii="Arial" w:cs="Arial" w:eastAsia="Arial" w:hAnsi="Arial"/>
          <w:sz w:val="20"/>
          <w:szCs w:val="20"/>
        </w:rPr>
        <w:t xml:space="preserve">A multi-layer LSTM processes the VSN output, producing temporal context representations. A gated skip connection (GLU + LayerNorm) combines the LSTM output with the VSN output.</w:t>
      </w:r>
    </w:p>
    <w:p>
      <w:pPr>
        <w:pStyle w:val="ListParagraph"/>
        <w:numPr>
          <w:ilvl w:val="0"/>
          <w:numId w:val="3"/>
        </w:numPr>
        <w:spacing w:after="80" w:line="276"/>
      </w:pPr>
      <w:r>
        <w:rPr>
          <w:rFonts w:ascii="Arial" w:cs="Arial" w:eastAsia="Arial" w:hAnsi="Arial"/>
          <w:b/>
          <w:bCs/>
          <w:sz w:val="20"/>
          <w:szCs w:val="20"/>
        </w:rPr>
        <w:t xml:space="preserve">Interpretable Multi-Head Self-Attention. </w:t>
      </w:r>
      <w:r>
        <w:rPr>
          <w:rFonts w:ascii="Arial" w:cs="Arial" w:eastAsia="Arial" w:hAnsi="Arial"/>
          <w:sz w:val="20"/>
          <w:szCs w:val="20"/>
        </w:rPr>
        <w:t xml:space="preserve">Attention is computed with separate per-head Q and K projections but a shared V projection, so the mean of head-level weights is directly interpretable as temporal importance. Residual connection and LayerNorm are applied after the attention block.</w:t>
      </w:r>
    </w:p>
    <w:p>
      <w:pPr>
        <w:pStyle w:val="ListParagraph"/>
        <w:numPr>
          <w:ilvl w:val="0"/>
          <w:numId w:val="3"/>
        </w:numPr>
        <w:spacing w:after="200" w:line="276"/>
      </w:pPr>
      <w:r>
        <w:rPr>
          <w:rFonts w:ascii="Arial" w:cs="Arial" w:eastAsia="Arial" w:hAnsi="Arial"/>
          <w:b/>
          <w:bCs/>
          <w:sz w:val="20"/>
          <w:szCs w:val="20"/>
        </w:rPr>
        <w:t xml:space="preserve">Point-Wise Feed-Forward and Classifier. </w:t>
      </w:r>
      <w:r>
        <w:rPr>
          <w:rFonts w:ascii="Arial" w:cs="Arial" w:eastAsia="Arial" w:hAnsi="Arial"/>
          <w:sz w:val="20"/>
          <w:szCs w:val="20"/>
        </w:rPr>
        <w:t xml:space="preserve">A GRN applies feature-wise transformations; its gated-skip output forms the final encoder representation. The hidden state at the last time step is fed to a two-layer MLP producing the mortality logit. d = 64, 4 attention heads, dropout p = 0.1. Total trainable parameters: 253K.</w:t>
      </w:r>
    </w:p>
    <w:p>
      <w:pPr>
        <w:spacing w:after="140" w:line="276"/>
        <w:jc w:val="both"/>
      </w:pPr>
      <w:r>
        <w:rPr>
          <w:rFonts w:ascii="Arial" w:cs="Arial" w:eastAsia="Arial" w:hAnsi="Arial"/>
          <w:sz w:val="20"/>
          <w:szCs w:val="20"/>
        </w:rPr>
        <w:t xml:space="preserve">The core GRN operation is defined as: GRN(x, c) = LayerNorm(x + GLU(W2 ELU(W1 [x; c]))), where GLU denotes the Gated Linear Unit activation, and c is an optional context vector (omitted here as no static covariates are used).</w:t>
      </w:r>
    </w:p>
    <w:p>
      <w:pPr>
        <w:pStyle w:val="Heading2"/>
        <w:spacing w:after="80" w:before="220"/>
      </w:pPr>
      <w:r>
        <w:rPr>
          <w:rFonts w:ascii="Arial" w:cs="Arial" w:eastAsia="Arial" w:hAnsi="Arial"/>
          <w:b/>
          <w:bCs/>
          <w:color w:val="2d2d6e"/>
          <w:sz w:val="22"/>
          <w:szCs w:val="22"/>
        </w:rPr>
        <w:t xml:space="preserve">4.4 Training Protocol</w:t>
      </w:r>
    </w:p>
    <w:p>
      <w:pPr>
        <w:spacing w:after="140" w:line="276"/>
        <w:jc w:val="both"/>
      </w:pPr>
      <w:r>
        <w:rPr>
          <w:rFonts w:ascii="Arial" w:cs="Arial" w:eastAsia="Arial" w:hAnsi="Arial"/>
          <w:sz w:val="20"/>
          <w:szCs w:val="20"/>
        </w:rPr>
        <w:t xml:space="preserve">Both models are optimised with Adam (lr = 1e-3, weight decay 1e-4) for 50 epochs with a ReduceLROnPlateau scheduler (factor 0.5, patience 5 epochs, monitoring validation AUROC). A weighted random sampler over-samples the minority class at each epoch, complemented by the BCE positive-class weight (~7.6 for MIMIC-III). The checkpoint with the highest validation AUROC is retained for test evaluation. All experiments were run on a single NVIDIA A100 GPU (training time: ~12 min for BiLSTM-Attn, ~18 min for TFT on the full MIMIC-III split).</w:t>
      </w:r>
    </w:p>
    <w:p>
      <w:pPr>
        <w:pStyle w:val="Heading1"/>
        <w:pBdr>
          <w:bottom w:val="single" w:color="dde3f4" w:sz="4" w:space="4"/>
        </w:pBdr>
        <w:spacing w:after="120" w:before="300"/>
      </w:pPr>
      <w:r>
        <w:rPr>
          <w:rFonts w:ascii="Arial" w:cs="Arial" w:eastAsia="Arial" w:hAnsi="Arial"/>
          <w:b/>
          <w:bCs/>
          <w:color w:val="1a1a2e"/>
          <w:sz w:val="26"/>
          <w:szCs w:val="26"/>
        </w:rPr>
        <w:t xml:space="preserve">5. Experiments</w:t>
      </w:r>
    </w:p>
    <w:p>
      <w:pPr>
        <w:pStyle w:val="Heading2"/>
        <w:spacing w:after="80" w:before="220"/>
      </w:pPr>
      <w:r>
        <w:rPr>
          <w:rFonts w:ascii="Arial" w:cs="Arial" w:eastAsia="Arial" w:hAnsi="Arial"/>
          <w:b/>
          <w:bCs/>
          <w:color w:val="2d2d6e"/>
          <w:sz w:val="22"/>
          <w:szCs w:val="22"/>
        </w:rPr>
        <w:t xml:space="preserve">5.1 Main Results</w:t>
      </w:r>
    </w:p>
    <w:p>
      <w:pPr>
        <w:spacing w:after="140" w:line="276"/>
        <w:jc w:val="both"/>
      </w:pPr>
      <w:r>
        <w:rPr>
          <w:rFonts w:ascii="Arial" w:cs="Arial" w:eastAsia="Arial" w:hAnsi="Arial"/>
          <w:sz w:val="20"/>
          <w:szCs w:val="20"/>
        </w:rPr>
        <w:t xml:space="preserve">Table 2 reports AUROC, AUPRC, Brier score, and parameter counts for all models evaluated on the held-out test set. Clinical scoring baselines (SAPS-II, SOFA) are computed from their standard definitions; static ML baselines (LR, RF, XGBoost) use the mean of each vital sign over the 48-hour window as input features.</w:t>
      </w:r>
    </w:p>
    <w:p>
      <w:pPr>
        <w:spacing w:after="0" w:before="120"/>
      </w:pPr>
      <w:r>
        <w:rPr>
          <w:rFonts w:ascii="Arial" w:cs="Arial" w:eastAsia="Arial" w:hAnsi="Arial"/>
          <w:sz w:val="20"/>
          <w:szCs w:val="20"/>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1562"/>
        <w:gridCol w:w="1562"/>
        <w:gridCol w:w="1562"/>
        <w:gridCol w:w="1762"/>
      </w:tblGrid>
      <w:tr>
        <w:trPr>
          <w:tblHeader/>
        </w:trPr>
        <w:tc>
          <w:tcPr>
            <w:tcW w:type="dxa" w:w="3200"/>
            <w:tcBorders>
              <w:top w:val="single" w:color="AAAAAA" w:sz="4"/>
              <w:left w:val="single" w:color="AAAAAA" w:sz="4"/>
              <w:bottom w:val="single" w:color="AAAAAA" w:sz="4"/>
              <w:right w:val="single" w:color="AAAAAA" w:sz="4"/>
            </w:tcBorders>
            <w:shd w:fill="1a1a2e"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FFFFFF"/>
                <w:sz w:val="18"/>
                <w:szCs w:val="18"/>
              </w:rPr>
              <w:t xml:space="preserve">Model</w:t>
            </w:r>
          </w:p>
        </w:tc>
        <w:tc>
          <w:tcPr>
            <w:tcW w:type="dxa" w:w="1562"/>
            <w:tcBorders>
              <w:top w:val="single" w:color="AAAAAA" w:sz="4"/>
              <w:left w:val="single" w:color="AAAAAA" w:sz="4"/>
              <w:bottom w:val="single" w:color="AAAAAA" w:sz="4"/>
              <w:right w:val="single" w:color="AAAAAA" w:sz="4"/>
            </w:tcBorders>
            <w:shd w:fill="1a1a2e"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8"/>
                <w:szCs w:val="18"/>
              </w:rPr>
              <w:t xml:space="preserve">AUROC</w:t>
            </w:r>
          </w:p>
        </w:tc>
        <w:tc>
          <w:tcPr>
            <w:tcW w:type="dxa" w:w="1562"/>
            <w:tcBorders>
              <w:top w:val="single" w:color="AAAAAA" w:sz="4"/>
              <w:left w:val="single" w:color="AAAAAA" w:sz="4"/>
              <w:bottom w:val="single" w:color="AAAAAA" w:sz="4"/>
              <w:right w:val="single" w:color="AAAAAA" w:sz="4"/>
            </w:tcBorders>
            <w:shd w:fill="1a1a2e"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8"/>
                <w:szCs w:val="18"/>
              </w:rPr>
              <w:t xml:space="preserve">AUPRC</w:t>
            </w:r>
          </w:p>
        </w:tc>
        <w:tc>
          <w:tcPr>
            <w:tcW w:type="dxa" w:w="1562"/>
            <w:tcBorders>
              <w:top w:val="single" w:color="AAAAAA" w:sz="4"/>
              <w:left w:val="single" w:color="AAAAAA" w:sz="4"/>
              <w:bottom w:val="single" w:color="AAAAAA" w:sz="4"/>
              <w:right w:val="single" w:color="AAAAAA" w:sz="4"/>
            </w:tcBorders>
            <w:shd w:fill="1a1a2e"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8"/>
                <w:szCs w:val="18"/>
              </w:rPr>
              <w:t xml:space="preserve">Brier</w:t>
            </w:r>
          </w:p>
        </w:tc>
        <w:tc>
          <w:tcPr>
            <w:tcW w:type="dxa" w:w="1762"/>
            <w:tcBorders>
              <w:top w:val="single" w:color="AAAAAA" w:sz="4"/>
              <w:left w:val="single" w:color="AAAAAA" w:sz="4"/>
              <w:bottom w:val="single" w:color="AAAAAA" w:sz="4"/>
              <w:right w:val="single" w:color="AAAAAA" w:sz="4"/>
            </w:tcBorders>
            <w:shd w:fill="1a1a2e"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8"/>
                <w:szCs w:val="18"/>
              </w:rPr>
              <w:t xml:space="preserve">Params</w:t>
            </w:r>
          </w:p>
        </w:tc>
      </w:tr>
      <w:tr>
        <w:trPr>
          <w:tblHeader w:val="false"/>
        </w:trPr>
        <w:tc>
          <w:tcPr>
            <w:tcW w:type="dxa" w:w="32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SAPS-II (clinical score)</w:t>
            </w:r>
          </w:p>
        </w:tc>
        <w:tc>
          <w:tcPr>
            <w:tcW w:type="dxa" w:w="15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0.762</w:t>
            </w:r>
          </w:p>
        </w:tc>
        <w:tc>
          <w:tcPr>
            <w:tcW w:type="dxa" w:w="15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0.341</w:t>
            </w:r>
          </w:p>
        </w:tc>
        <w:tc>
          <w:tcPr>
            <w:tcW w:type="dxa" w:w="15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0.098</w:t>
            </w:r>
          </w:p>
        </w:tc>
        <w:tc>
          <w:tcPr>
            <w:tcW w:type="dxa" w:w="17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w:t>
            </w:r>
          </w:p>
        </w:tc>
      </w:tr>
      <w:tr>
        <w:trPr>
          <w:tblHeader w:val="false"/>
        </w:trPr>
        <w:tc>
          <w:tcPr>
            <w:tcW w:type="dxa" w:w="320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SOFA score</w:t>
            </w:r>
          </w:p>
        </w:tc>
        <w:tc>
          <w:tcPr>
            <w:tcW w:type="dxa" w:w="1562"/>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0.746</w:t>
            </w:r>
          </w:p>
        </w:tc>
        <w:tc>
          <w:tcPr>
            <w:tcW w:type="dxa" w:w="1562"/>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0.318</w:t>
            </w:r>
          </w:p>
        </w:tc>
        <w:tc>
          <w:tcPr>
            <w:tcW w:type="dxa" w:w="1562"/>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0.103</w:t>
            </w:r>
          </w:p>
        </w:tc>
        <w:tc>
          <w:tcPr>
            <w:tcW w:type="dxa" w:w="1762"/>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w:t>
            </w:r>
          </w:p>
        </w:tc>
      </w:tr>
      <w:tr>
        <w:trPr>
          <w:tblHeader w:val="false"/>
        </w:trPr>
        <w:tc>
          <w:tcPr>
            <w:tcW w:type="dxa" w:w="32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Logistic Regression</w:t>
            </w:r>
          </w:p>
        </w:tc>
        <w:tc>
          <w:tcPr>
            <w:tcW w:type="dxa" w:w="15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0.801</w:t>
            </w:r>
          </w:p>
        </w:tc>
        <w:tc>
          <w:tcPr>
            <w:tcW w:type="dxa" w:w="15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0.382</w:t>
            </w:r>
          </w:p>
        </w:tc>
        <w:tc>
          <w:tcPr>
            <w:tcW w:type="dxa" w:w="15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0.087</w:t>
            </w:r>
          </w:p>
        </w:tc>
        <w:tc>
          <w:tcPr>
            <w:tcW w:type="dxa" w:w="17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~500</w:t>
            </w:r>
          </w:p>
        </w:tc>
      </w:tr>
      <w:tr>
        <w:trPr>
          <w:tblHeader w:val="false"/>
        </w:trPr>
        <w:tc>
          <w:tcPr>
            <w:tcW w:type="dxa" w:w="320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Random Forest</w:t>
            </w:r>
          </w:p>
        </w:tc>
        <w:tc>
          <w:tcPr>
            <w:tcW w:type="dxa" w:w="1562"/>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0.823</w:t>
            </w:r>
          </w:p>
        </w:tc>
        <w:tc>
          <w:tcPr>
            <w:tcW w:type="dxa" w:w="1562"/>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0.411</w:t>
            </w:r>
          </w:p>
        </w:tc>
        <w:tc>
          <w:tcPr>
            <w:tcW w:type="dxa" w:w="1562"/>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0.081</w:t>
            </w:r>
          </w:p>
        </w:tc>
        <w:tc>
          <w:tcPr>
            <w:tcW w:type="dxa" w:w="1762"/>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w:t>
            </w:r>
          </w:p>
        </w:tc>
      </w:tr>
      <w:tr>
        <w:trPr>
          <w:tblHeader w:val="false"/>
        </w:trPr>
        <w:tc>
          <w:tcPr>
            <w:tcW w:type="dxa" w:w="32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XGBoost (static features)</w:t>
            </w:r>
          </w:p>
        </w:tc>
        <w:tc>
          <w:tcPr>
            <w:tcW w:type="dxa" w:w="15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0.837</w:t>
            </w:r>
          </w:p>
        </w:tc>
        <w:tc>
          <w:tcPr>
            <w:tcW w:type="dxa" w:w="15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0.428</w:t>
            </w:r>
          </w:p>
        </w:tc>
        <w:tc>
          <w:tcPr>
            <w:tcW w:type="dxa" w:w="15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0.076</w:t>
            </w:r>
          </w:p>
        </w:tc>
        <w:tc>
          <w:tcPr>
            <w:tcW w:type="dxa" w:w="17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w:t>
            </w:r>
          </w:p>
        </w:tc>
      </w:tr>
      <w:tr>
        <w:trPr>
          <w:tblHeader w:val="false"/>
        </w:trPr>
        <w:tc>
          <w:tcPr>
            <w:tcW w:type="dxa" w:w="320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Vanilla LSTM</w:t>
            </w:r>
          </w:p>
        </w:tc>
        <w:tc>
          <w:tcPr>
            <w:tcW w:type="dxa" w:w="1562"/>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0.851</w:t>
            </w:r>
          </w:p>
        </w:tc>
        <w:tc>
          <w:tcPr>
            <w:tcW w:type="dxa" w:w="1562"/>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0.447</w:t>
            </w:r>
          </w:p>
        </w:tc>
        <w:tc>
          <w:tcPr>
            <w:tcW w:type="dxa" w:w="1562"/>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0.071</w:t>
            </w:r>
          </w:p>
        </w:tc>
        <w:tc>
          <w:tcPr>
            <w:tcW w:type="dxa" w:w="1762"/>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~200K</w:t>
            </w:r>
          </w:p>
        </w:tc>
      </w:tr>
      <w:tr>
        <w:trPr>
          <w:tblHeader w:val="false"/>
        </w:trPr>
        <w:tc>
          <w:tcPr>
            <w:tcW w:type="dxa" w:w="32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BiLSTM + Attention (ours)</w:t>
            </w:r>
          </w:p>
        </w:tc>
        <w:tc>
          <w:tcPr>
            <w:tcW w:type="dxa" w:w="15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0.871</w:t>
            </w:r>
          </w:p>
        </w:tc>
        <w:tc>
          <w:tcPr>
            <w:tcW w:type="dxa" w:w="15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0.489</w:t>
            </w:r>
          </w:p>
        </w:tc>
        <w:tc>
          <w:tcPr>
            <w:tcW w:type="dxa" w:w="15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0.064</w:t>
            </w:r>
          </w:p>
        </w:tc>
        <w:tc>
          <w:tcPr>
            <w:tcW w:type="dxa" w:w="1762"/>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677K</w:t>
            </w:r>
          </w:p>
        </w:tc>
      </w:tr>
      <w:tr>
        <w:trPr>
          <w:tblHeader w:val="false"/>
        </w:trPr>
        <w:tc>
          <w:tcPr>
            <w:tcW w:type="dxa" w:w="3200"/>
            <w:tcBorders>
              <w:top w:val="single" w:color="AAAAAA" w:sz="4"/>
              <w:left w:val="single" w:color="AAAAAA" w:sz="4"/>
              <w:bottom w:val="single" w:color="AAAAAA" w:sz="4"/>
              <w:right w:val="single" w:color="AAAAAA" w:sz="4"/>
            </w:tcBorders>
            <w:shd w:fill="d4edd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8"/>
                <w:szCs w:val="18"/>
              </w:rPr>
              <w:t xml:space="preserve">TFT (ours, best)</w:t>
            </w:r>
          </w:p>
        </w:tc>
        <w:tc>
          <w:tcPr>
            <w:tcW w:type="dxa" w:w="1562"/>
            <w:tcBorders>
              <w:top w:val="single" w:color="AAAAAA" w:sz="4"/>
              <w:left w:val="single" w:color="AAAAAA" w:sz="4"/>
              <w:bottom w:val="single" w:color="AAAAAA" w:sz="4"/>
              <w:right w:val="single" w:color="AAAAAA" w:sz="4"/>
            </w:tcBorders>
            <w:shd w:fill="d4edda"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000000"/>
                <w:sz w:val="18"/>
                <w:szCs w:val="18"/>
              </w:rPr>
              <w:t xml:space="preserve">0.884</w:t>
            </w:r>
          </w:p>
        </w:tc>
        <w:tc>
          <w:tcPr>
            <w:tcW w:type="dxa" w:w="1562"/>
            <w:tcBorders>
              <w:top w:val="single" w:color="AAAAAA" w:sz="4"/>
              <w:left w:val="single" w:color="AAAAAA" w:sz="4"/>
              <w:bottom w:val="single" w:color="AAAAAA" w:sz="4"/>
              <w:right w:val="single" w:color="AAAAAA" w:sz="4"/>
            </w:tcBorders>
            <w:shd w:fill="d4edda"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000000"/>
                <w:sz w:val="18"/>
                <w:szCs w:val="18"/>
              </w:rPr>
              <w:t xml:space="preserve">0.513</w:t>
            </w:r>
          </w:p>
        </w:tc>
        <w:tc>
          <w:tcPr>
            <w:tcW w:type="dxa" w:w="1562"/>
            <w:tcBorders>
              <w:top w:val="single" w:color="AAAAAA" w:sz="4"/>
              <w:left w:val="single" w:color="AAAAAA" w:sz="4"/>
              <w:bottom w:val="single" w:color="AAAAAA" w:sz="4"/>
              <w:right w:val="single" w:color="AAAAAA" w:sz="4"/>
            </w:tcBorders>
            <w:shd w:fill="d4edda"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000000"/>
                <w:sz w:val="18"/>
                <w:szCs w:val="18"/>
              </w:rPr>
              <w:t xml:space="preserve">0.058</w:t>
            </w:r>
          </w:p>
        </w:tc>
        <w:tc>
          <w:tcPr>
            <w:tcW w:type="dxa" w:w="1762"/>
            <w:tcBorders>
              <w:top w:val="single" w:color="AAAAAA" w:sz="4"/>
              <w:left w:val="single" w:color="AAAAAA" w:sz="4"/>
              <w:bottom w:val="single" w:color="AAAAAA" w:sz="4"/>
              <w:right w:val="single" w:color="AAAAAA" w:sz="4"/>
            </w:tcBorders>
            <w:shd w:fill="d4edda"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000000"/>
                <w:sz w:val="18"/>
                <w:szCs w:val="18"/>
              </w:rPr>
              <w:t xml:space="preserve">253K</w:t>
            </w:r>
          </w:p>
        </w:tc>
      </w:tr>
    </w:tbl>
    <w:p>
      <w:pPr>
        <w:spacing w:after="200" w:before="60"/>
        <w:jc w:val="center"/>
      </w:pPr>
      <w:r>
        <w:rPr>
          <w:rFonts w:ascii="Arial" w:cs="Arial" w:eastAsia="Arial" w:hAnsi="Arial"/>
          <w:i/>
          <w:iCs/>
          <w:color w:val="555555"/>
          <w:sz w:val="17"/>
          <w:szCs w:val="17"/>
        </w:rPr>
        <w:t xml:space="preserve">Table 2: Test-set performance comparison. Best values highlighted (green row). AUROC = area under the ROC curve; AUPRC = area under the precision-recall curve; Brier = Brier score (lower is better); Params = trainable parameters.</w:t>
      </w:r>
    </w:p>
    <w:p>
      <w:pPr>
        <w:spacing w:after="140" w:line="276"/>
        <w:jc w:val="both"/>
      </w:pPr>
      <w:r>
        <w:rPr>
          <w:rFonts w:ascii="Arial" w:cs="Arial" w:eastAsia="Arial" w:hAnsi="Arial"/>
          <w:sz w:val="20"/>
          <w:szCs w:val="20"/>
        </w:rPr>
        <w:t xml:space="preserve">Our TFT achieves an AUROC of 0.884, surpassing BiLSTM-Attn (0.871) by 1.3 percentage points, XGBoost (0.837) by 4.7 pp, and the SAPS-II clinical score (0.762) by 12.2 pp. The AUPRC gap between TFT and clinical baselines is particularly pronounced (0.513 vs. 0.341), reflecting the practical importance of recall in the rare positive class. The TFT also achieves the lowest Brier score (0.058), indicating well-calibrated probability estimates—a prerequisite for safe clinical deployment.</w:t>
      </w:r>
    </w:p>
    <w:p>
      <w:pPr>
        <w:pStyle w:val="Heading2"/>
        <w:spacing w:after="80" w:before="220"/>
      </w:pPr>
      <w:r>
        <w:rPr>
          <w:rFonts w:ascii="Arial" w:cs="Arial" w:eastAsia="Arial" w:hAnsi="Arial"/>
          <w:b/>
          <w:bCs/>
          <w:color w:val="2d2d6e"/>
          <w:sz w:val="22"/>
          <w:szCs w:val="22"/>
        </w:rPr>
        <w:t xml:space="preserve">5.2 Ablation Study</w:t>
      </w:r>
    </w:p>
    <w:p>
      <w:pPr>
        <w:spacing w:after="140" w:line="276"/>
        <w:jc w:val="both"/>
      </w:pPr>
      <w:r>
        <w:rPr>
          <w:rFonts w:ascii="Arial" w:cs="Arial" w:eastAsia="Arial" w:hAnsi="Arial"/>
          <w:sz w:val="20"/>
          <w:szCs w:val="20"/>
        </w:rPr>
        <w:t xml:space="preserve">To quantify the contribution of each TFT component, we successively ablate sub-modules and report the resulting performance degradation (Table 3). Removing the Variable Selection Network costs 1.3 AUROC points, confirming that learned feature weighting adds meaningful inductive bias. Removing interpretable attention (replacing with standard MHA) costs 1.8 points. Replacing all GRNs with plain linear layers causes the largest drop (2.6 points), underscoring the importance of gating for clinical time series with heterogeneous signal-to-noise ratios. A transformer-only variant without the LSTM encoder degrades by 4.1 points, validating the role of sequential inductive bias for short time series.</w:t>
      </w:r>
    </w:p>
    <w:p>
      <w:pPr>
        <w:spacing w:after="0" w:before="120"/>
      </w:pPr>
      <w:r>
        <w:rPr>
          <w:rFonts w:ascii="Arial" w:cs="Arial" w:eastAsia="Arial" w:hAnsi="Arial"/>
          <w:sz w:val="20"/>
          <w:szCs w:val="20"/>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1549"/>
        <w:gridCol w:w="1549"/>
        <w:gridCol w:w="2550"/>
      </w:tblGrid>
      <w:tr>
        <w:trPr>
          <w:tblHeader/>
        </w:trPr>
        <w:tc>
          <w:tcPr>
            <w:tcW w:type="dxa" w:w="4000"/>
            <w:tcBorders>
              <w:top w:val="single" w:color="AAAAAA" w:sz="4"/>
              <w:left w:val="single" w:color="AAAAAA" w:sz="4"/>
              <w:bottom w:val="single" w:color="AAAAAA" w:sz="4"/>
              <w:right w:val="single" w:color="AAAAAA" w:sz="4"/>
            </w:tcBorders>
            <w:shd w:fill="2d2d6e"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FFFFFF"/>
                <w:sz w:val="18"/>
                <w:szCs w:val="18"/>
              </w:rPr>
              <w:t xml:space="preserve">Configuration</w:t>
            </w:r>
          </w:p>
        </w:tc>
        <w:tc>
          <w:tcPr>
            <w:tcW w:type="dxa" w:w="1549"/>
            <w:tcBorders>
              <w:top w:val="single" w:color="AAAAAA" w:sz="4"/>
              <w:left w:val="single" w:color="AAAAAA" w:sz="4"/>
              <w:bottom w:val="single" w:color="AAAAAA" w:sz="4"/>
              <w:right w:val="single" w:color="AAAAAA" w:sz="4"/>
            </w:tcBorders>
            <w:shd w:fill="2d2d6e"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8"/>
                <w:szCs w:val="18"/>
              </w:rPr>
              <w:t xml:space="preserve">AUROC</w:t>
            </w:r>
          </w:p>
        </w:tc>
        <w:tc>
          <w:tcPr>
            <w:tcW w:type="dxa" w:w="1549"/>
            <w:tcBorders>
              <w:top w:val="single" w:color="AAAAAA" w:sz="4"/>
              <w:left w:val="single" w:color="AAAAAA" w:sz="4"/>
              <w:bottom w:val="single" w:color="AAAAAA" w:sz="4"/>
              <w:right w:val="single" w:color="AAAAAA" w:sz="4"/>
            </w:tcBorders>
            <w:shd w:fill="2d2d6e"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8"/>
                <w:szCs w:val="18"/>
              </w:rPr>
              <w:t xml:space="preserve">AUPRC</w:t>
            </w:r>
          </w:p>
        </w:tc>
        <w:tc>
          <w:tcPr>
            <w:tcW w:type="dxa" w:w="2550"/>
            <w:tcBorders>
              <w:top w:val="single" w:color="AAAAAA" w:sz="4"/>
              <w:left w:val="single" w:color="AAAAAA" w:sz="4"/>
              <w:bottom w:val="single" w:color="AAAAAA" w:sz="4"/>
              <w:right w:val="single" w:color="AAAAAA" w:sz="4"/>
            </w:tcBorders>
            <w:shd w:fill="2d2d6e"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8"/>
                <w:szCs w:val="18"/>
              </w:rPr>
              <w:t xml:space="preserve">Delta AUROC</w:t>
            </w:r>
          </w:p>
        </w:tc>
      </w:tr>
      <w:tr>
        <w:trPr>
          <w:tblHeader w:val="false"/>
        </w:trPr>
        <w:tc>
          <w:tcPr>
            <w:tcW w:type="dxa" w:w="4000"/>
            <w:tcBorders>
              <w:top w:val="single" w:color="AAAAAA" w:sz="4"/>
              <w:left w:val="single" w:color="AAAAAA" w:sz="4"/>
              <w:bottom w:val="single" w:color="AAAAAA" w:sz="4"/>
              <w:right w:val="single" w:color="AAAAAA" w:sz="4"/>
            </w:tcBorders>
            <w:shd w:fill="d4edd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8"/>
                <w:szCs w:val="18"/>
              </w:rPr>
              <w:t xml:space="preserve">TFT (full model)</w:t>
            </w:r>
          </w:p>
        </w:tc>
        <w:tc>
          <w:tcPr>
            <w:tcW w:type="dxa" w:w="1549"/>
            <w:tcBorders>
              <w:top w:val="single" w:color="AAAAAA" w:sz="4"/>
              <w:left w:val="single" w:color="AAAAAA" w:sz="4"/>
              <w:bottom w:val="single" w:color="AAAAAA" w:sz="4"/>
              <w:right w:val="single" w:color="AAAAAA" w:sz="4"/>
            </w:tcBorders>
            <w:shd w:fill="d4edda"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000000"/>
                <w:sz w:val="18"/>
                <w:szCs w:val="18"/>
              </w:rPr>
              <w:t xml:space="preserve">0.884</w:t>
            </w:r>
          </w:p>
        </w:tc>
        <w:tc>
          <w:tcPr>
            <w:tcW w:type="dxa" w:w="1549"/>
            <w:tcBorders>
              <w:top w:val="single" w:color="AAAAAA" w:sz="4"/>
              <w:left w:val="single" w:color="AAAAAA" w:sz="4"/>
              <w:bottom w:val="single" w:color="AAAAAA" w:sz="4"/>
              <w:right w:val="single" w:color="AAAAAA" w:sz="4"/>
            </w:tcBorders>
            <w:shd w:fill="d4edda"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000000"/>
                <w:sz w:val="18"/>
                <w:szCs w:val="18"/>
              </w:rPr>
              <w:t xml:space="preserve">0.513</w:t>
            </w:r>
          </w:p>
        </w:tc>
        <w:tc>
          <w:tcPr>
            <w:tcW w:type="dxa" w:w="2550"/>
            <w:tcBorders>
              <w:top w:val="single" w:color="AAAAAA" w:sz="4"/>
              <w:left w:val="single" w:color="AAAAAA" w:sz="4"/>
              <w:bottom w:val="single" w:color="AAAAAA" w:sz="4"/>
              <w:right w:val="single" w:color="AAAAAA" w:sz="4"/>
            </w:tcBorders>
            <w:shd w:fill="d4edda"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000000"/>
                <w:sz w:val="18"/>
                <w:szCs w:val="18"/>
              </w:rPr>
              <w:t xml:space="preserve">—</w:t>
            </w:r>
          </w:p>
        </w:tc>
      </w:tr>
      <w:tr>
        <w:trPr>
          <w:tblHeader w:val="false"/>
        </w:trPr>
        <w:tc>
          <w:tcPr>
            <w:tcW w:type="dxa" w:w="400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  w/o Variable Selection Network</w:t>
            </w:r>
          </w:p>
        </w:tc>
        <w:tc>
          <w:tcPr>
            <w:tcW w:type="dxa" w:w="1549"/>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0.871</w:t>
            </w:r>
          </w:p>
        </w:tc>
        <w:tc>
          <w:tcPr>
            <w:tcW w:type="dxa" w:w="1549"/>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0.494</w:t>
            </w:r>
          </w:p>
        </w:tc>
        <w:tc>
          <w:tcPr>
            <w:tcW w:type="dxa" w:w="255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CC0000"/>
                <w:sz w:val="18"/>
                <w:szCs w:val="18"/>
              </w:rPr>
              <w:t xml:space="preserve">-0.013</w:t>
            </w:r>
          </w:p>
        </w:tc>
      </w:tr>
      <w:tr>
        <w:trPr>
          <w:tblHeader w:val="false"/>
        </w:trPr>
        <w:tc>
          <w:tcPr>
            <w:tcW w:type="dxa" w:w="4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  w/o Interpretable Attention</w:t>
            </w:r>
          </w:p>
        </w:tc>
        <w:tc>
          <w:tcPr>
            <w:tcW w:type="dxa" w:w="1549"/>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0.866</w:t>
            </w:r>
          </w:p>
        </w:tc>
        <w:tc>
          <w:tcPr>
            <w:tcW w:type="dxa" w:w="1549"/>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0.487</w:t>
            </w:r>
          </w:p>
        </w:tc>
        <w:tc>
          <w:tcPr>
            <w:tcW w:type="dxa" w:w="255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CC0000"/>
                <w:sz w:val="18"/>
                <w:szCs w:val="18"/>
              </w:rPr>
              <w:t xml:space="preserve">-0.018</w:t>
            </w:r>
          </w:p>
        </w:tc>
      </w:tr>
      <w:tr>
        <w:trPr>
          <w:tblHeader w:val="false"/>
        </w:trPr>
        <w:tc>
          <w:tcPr>
            <w:tcW w:type="dxa" w:w="400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  w/o Gated Residual Networks</w:t>
            </w:r>
          </w:p>
        </w:tc>
        <w:tc>
          <w:tcPr>
            <w:tcW w:type="dxa" w:w="1549"/>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0.858</w:t>
            </w:r>
          </w:p>
        </w:tc>
        <w:tc>
          <w:tcPr>
            <w:tcW w:type="dxa" w:w="1549"/>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0.471</w:t>
            </w:r>
          </w:p>
        </w:tc>
        <w:tc>
          <w:tcPr>
            <w:tcW w:type="dxa" w:w="255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CC0000"/>
                <w:sz w:val="18"/>
                <w:szCs w:val="18"/>
              </w:rPr>
              <w:t xml:space="preserve">-0.026</w:t>
            </w:r>
          </w:p>
        </w:tc>
      </w:tr>
      <w:tr>
        <w:trPr>
          <w:tblHeader w:val="false"/>
        </w:trPr>
        <w:tc>
          <w:tcPr>
            <w:tcW w:type="dxa" w:w="4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  w/o LSTM encoder (MHA only)</w:t>
            </w:r>
          </w:p>
        </w:tc>
        <w:tc>
          <w:tcPr>
            <w:tcW w:type="dxa" w:w="1549"/>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0.843</w:t>
            </w:r>
          </w:p>
        </w:tc>
        <w:tc>
          <w:tcPr>
            <w:tcW w:type="dxa" w:w="1549"/>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0.451</w:t>
            </w:r>
          </w:p>
        </w:tc>
        <w:tc>
          <w:tcPr>
            <w:tcW w:type="dxa" w:w="255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CC0000"/>
                <w:sz w:val="18"/>
                <w:szCs w:val="18"/>
              </w:rPr>
              <w:t xml:space="preserve">-0.041</w:t>
            </w:r>
          </w:p>
        </w:tc>
      </w:tr>
      <w:tr>
        <w:trPr>
          <w:tblHeader w:val="false"/>
        </w:trPr>
        <w:tc>
          <w:tcPr>
            <w:tcW w:type="dxa" w:w="400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Single vital: HR only</w:t>
            </w:r>
          </w:p>
        </w:tc>
        <w:tc>
          <w:tcPr>
            <w:tcW w:type="dxa" w:w="1549"/>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0.801</w:t>
            </w:r>
          </w:p>
        </w:tc>
        <w:tc>
          <w:tcPr>
            <w:tcW w:type="dxa" w:w="1549"/>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0.398</w:t>
            </w:r>
          </w:p>
        </w:tc>
        <w:tc>
          <w:tcPr>
            <w:tcW w:type="dxa" w:w="255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CC0000"/>
                <w:sz w:val="18"/>
                <w:szCs w:val="18"/>
              </w:rPr>
              <w:t xml:space="preserve">-0.083</w:t>
            </w:r>
          </w:p>
        </w:tc>
      </w:tr>
      <w:tr>
        <w:trPr>
          <w:tblHeader w:val="false"/>
        </w:trPr>
        <w:tc>
          <w:tcPr>
            <w:tcW w:type="dxa" w:w="4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Single vital: SpO2 only</w:t>
            </w:r>
          </w:p>
        </w:tc>
        <w:tc>
          <w:tcPr>
            <w:tcW w:type="dxa" w:w="1549"/>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0.793</w:t>
            </w:r>
          </w:p>
        </w:tc>
        <w:tc>
          <w:tcPr>
            <w:tcW w:type="dxa" w:w="1549"/>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0.384</w:t>
            </w:r>
          </w:p>
        </w:tc>
        <w:tc>
          <w:tcPr>
            <w:tcW w:type="dxa" w:w="255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CC0000"/>
                <w:sz w:val="18"/>
                <w:szCs w:val="18"/>
              </w:rPr>
              <w:t xml:space="preserve">-0.091</w:t>
            </w:r>
          </w:p>
        </w:tc>
      </w:tr>
      <w:tr>
        <w:trPr>
          <w:tblHeader w:val="false"/>
        </w:trPr>
        <w:tc>
          <w:tcPr>
            <w:tcW w:type="dxa" w:w="400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8"/>
                <w:szCs w:val="18"/>
              </w:rPr>
              <w:t xml:space="preserve">Single vital: MAP only</w:t>
            </w:r>
          </w:p>
        </w:tc>
        <w:tc>
          <w:tcPr>
            <w:tcW w:type="dxa" w:w="1549"/>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0.812</w:t>
            </w:r>
          </w:p>
        </w:tc>
        <w:tc>
          <w:tcPr>
            <w:tcW w:type="dxa" w:w="1549"/>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000000"/>
                <w:sz w:val="18"/>
                <w:szCs w:val="18"/>
              </w:rPr>
              <w:t xml:space="preserve">0.406</w:t>
            </w:r>
          </w:p>
        </w:tc>
        <w:tc>
          <w:tcPr>
            <w:tcW w:type="dxa" w:w="2550"/>
            <w:tcBorders>
              <w:top w:val="single" w:color="AAAAAA" w:sz="4"/>
              <w:left w:val="single" w:color="AAAAAA" w:sz="4"/>
              <w:bottom w:val="single" w:color="AAAAAA" w:sz="4"/>
              <w:right w:val="single" w:color="AAAAAA" w:sz="4"/>
            </w:tcBorders>
            <w:shd w:fill="f0f2f8"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CC0000"/>
                <w:sz w:val="18"/>
                <w:szCs w:val="18"/>
              </w:rPr>
              <w:t xml:space="preserve">-0.072</w:t>
            </w:r>
          </w:p>
        </w:tc>
      </w:tr>
    </w:tbl>
    <w:p>
      <w:pPr>
        <w:spacing w:after="200" w:before="60"/>
        <w:jc w:val="center"/>
      </w:pPr>
      <w:r>
        <w:rPr>
          <w:rFonts w:ascii="Arial" w:cs="Arial" w:eastAsia="Arial" w:hAnsi="Arial"/>
          <w:i/>
          <w:iCs/>
          <w:color w:val="555555"/>
          <w:sz w:val="17"/>
          <w:szCs w:val="17"/>
        </w:rPr>
        <w:t xml:space="preserve">Table 3: TFT ablation study on the test set. Row 1 is the full model; rows 2–5 progressively remove TFT components; rows 6–8 use a single vital sign as input. Delta AUROC values in red indicate performance drop.</w:t>
      </w:r>
    </w:p>
    <w:p>
      <w:pPr>
        <w:pStyle w:val="Heading2"/>
        <w:spacing w:after="80" w:before="220"/>
      </w:pPr>
      <w:r>
        <w:rPr>
          <w:rFonts w:ascii="Arial" w:cs="Arial" w:eastAsia="Arial" w:hAnsi="Arial"/>
          <w:b/>
          <w:bCs/>
          <w:color w:val="2d2d6e"/>
          <w:sz w:val="22"/>
          <w:szCs w:val="22"/>
        </w:rPr>
        <w:t xml:space="preserve">5.3 Variable Importance Analysis</w:t>
      </w:r>
    </w:p>
    <w:p>
      <w:pPr>
        <w:spacing w:after="140" w:line="276"/>
        <w:jc w:val="both"/>
      </w:pPr>
      <w:r>
        <w:rPr>
          <w:rFonts w:ascii="Arial" w:cs="Arial" w:eastAsia="Arial" w:hAnsi="Arial"/>
          <w:sz w:val="20"/>
          <w:szCs w:val="20"/>
        </w:rPr>
        <w:t xml:space="preserve">The average VSN selection weights across the test set, aggregated per vital sign, show: SpO2 (0.27), mean arterial pressure (0.24), heart rate (0.20), systolic BP (0.17), and diastolic BP (0.12). This ordering is consistent with the clinical literature: hypoxaemia (low SpO2) and haemodynamic instability (low MAP) are hallmark early warning signs of septic shock and multi-organ failure, the primary contributors to ICU mortality in mixed adult populations [4, 20].</w:t>
      </w:r>
    </w:p>
    <w:p>
      <w:pPr>
        <w:spacing w:after="140" w:line="276"/>
        <w:jc w:val="both"/>
      </w:pPr>
      <w:r>
        <w:rPr>
          <w:rFonts w:ascii="Arial" w:cs="Arial" w:eastAsia="Arial" w:hAnsi="Arial"/>
          <w:sz w:val="20"/>
          <w:szCs w:val="20"/>
        </w:rPr>
        <w:t xml:space="preserve">Temporally, the self-attention weights show two primary modes: a broad baseline attention over the first 12 hours (capturing admission severity) and a sharply peaked mode in hours 36–42 (capturing late deterioration events). These findings support the clinical utility of 48-hour monitoring windows over shorter alternatives, as late trajectory changes carry independent prognostic value beyond admission acuity.</w:t>
      </w:r>
    </w:p>
    <w:p>
      <w:pPr>
        <w:pStyle w:val="Heading2"/>
        <w:spacing w:after="80" w:before="220"/>
      </w:pPr>
      <w:r>
        <w:rPr>
          <w:rFonts w:ascii="Arial" w:cs="Arial" w:eastAsia="Arial" w:hAnsi="Arial"/>
          <w:b/>
          <w:bCs/>
          <w:color w:val="2d2d6e"/>
          <w:sz w:val="22"/>
          <w:szCs w:val="22"/>
        </w:rPr>
        <w:t xml:space="preserve">5.4 Sensitivity Analysis</w:t>
      </w:r>
    </w:p>
    <w:p>
      <w:pPr>
        <w:spacing w:after="140" w:line="276"/>
        <w:jc w:val="both"/>
      </w:pPr>
      <w:r>
        <w:rPr>
          <w:rFonts w:ascii="Arial" w:cs="Arial" w:eastAsia="Arial" w:hAnsi="Arial"/>
          <w:sz w:val="20"/>
          <w:szCs w:val="20"/>
        </w:rPr>
        <w:t xml:space="preserve">We evaluated model robustness under two perturbation scenarios. First, we artificially increased the missing-data rate from 34% to 60% by randomly masking observed values before imputation; TFT AUROC declined by 0.021 (to 0.863) versus 0.029 for BiLSTM-Attn, suggesting that the VSN provides implicit robustness to missingness by down-weighting unreliable features. Second, we tested on a held-out subgroup of surgical ICU (SICU) stays; TFT maintained AUROC 0.871 versus 0.858 for BiLSTM-Attn, indicating generalisability across ICU subtypes.</w:t>
      </w:r>
    </w:p>
    <w:p>
      <w:pPr>
        <w:pStyle w:val="Heading1"/>
        <w:pBdr>
          <w:bottom w:val="single" w:color="dde3f4" w:sz="4" w:space="4"/>
        </w:pBdr>
        <w:spacing w:after="120" w:before="300"/>
      </w:pPr>
      <w:r>
        <w:rPr>
          <w:rFonts w:ascii="Arial" w:cs="Arial" w:eastAsia="Arial" w:hAnsi="Arial"/>
          <w:b/>
          <w:bCs/>
          <w:color w:val="1a1a2e"/>
          <w:sz w:val="26"/>
          <w:szCs w:val="26"/>
        </w:rPr>
        <w:t xml:space="preserve">6. Discussion</w:t>
      </w:r>
    </w:p>
    <w:p>
      <w:pPr>
        <w:spacing w:after="140" w:line="276"/>
        <w:jc w:val="both"/>
      </w:pPr>
      <w:r>
        <w:rPr>
          <w:rFonts w:ascii="Arial" w:cs="Arial" w:eastAsia="Arial" w:hAnsi="Arial"/>
          <w:sz w:val="20"/>
          <w:szCs w:val="20"/>
        </w:rPr>
        <w:t xml:space="preserve">Our results confirm that sequence models exploiting the full 48-hour temporal trajectory of vital signs substantially outperform static clinical scoring systems. The TFT’s architectural prior—that feature importance varies both across variables and over time—appears well matched to ICU physiology, where a vital sign’s informativeness can shift dramatically depending on the patient’s trajectory.</w:t>
      </w:r>
    </w:p>
    <w:p>
      <w:pPr>
        <w:spacing w:after="140" w:line="276"/>
        <w:jc w:val="both"/>
      </w:pPr>
      <w:r>
        <w:rPr>
          <w:rFonts w:ascii="Arial" w:cs="Arial" w:eastAsia="Arial" w:hAnsi="Arial"/>
          <w:sz w:val="20"/>
          <w:szCs w:val="20"/>
        </w:rPr>
        <w:t xml:space="preserve">A key practical advantage of both our models over prior deep learning approaches is computational efficiency. BiLSTM-Attn uses only five raw vital features with no laboratory values or text, yet achieves AUROC 0.871—comparable to models trained on dozens of variables [8, 9]. This is particularly relevant in resource-limited settings where laboratory turnaround times make timely feature extraction difficult. The TFT additionally provides native variable importance weights without the overhead of post-hoc attribution methods, lowering the barrier to explainability audits required by clinical governance frameworks.</w:t>
      </w:r>
    </w:p>
    <w:p>
      <w:pPr>
        <w:spacing w:after="140" w:line="276"/>
        <w:jc w:val="both"/>
      </w:pPr>
      <w:r>
        <w:rPr>
          <w:rFonts w:ascii="Arial" w:cs="Arial" w:eastAsia="Arial" w:hAnsi="Arial"/>
          <w:sz w:val="20"/>
          <w:szCs w:val="20"/>
        </w:rPr>
        <w:t xml:space="preserve">Limitations. First, our models are trained and evaluated on data from a single US academic medical centre, and external validation on multi-centre databases such as eICU or HiRID is required before deployment. Second, we restrict inputs to five haemodynamic vital signs; incorporating laboratory values (lactate, creatinine, troponin), ventilator settings, and clinical notes is expected to yield further performance gains [7, 21]. Third, the 48-hour window requires patients to have survived to the midpoint of monitoring, introducing survivor bias; a rolling-window formulation issuing predictions at arbitrary horizons would be more clinically flexible. Finally, the gap between AUROC and AUPRC (0.884 vs. 0.513) highlights that even state-of-the-art models produce a meaningful false-positive burden at operating points targeting high sensitivity.</w:t>
      </w:r>
    </w:p>
    <w:p>
      <w:pPr>
        <w:pStyle w:val="Heading1"/>
        <w:pBdr>
          <w:bottom w:val="single" w:color="dde3f4" w:sz="4" w:space="4"/>
        </w:pBdr>
        <w:spacing w:after="120" w:before="300"/>
      </w:pPr>
      <w:r>
        <w:rPr>
          <w:rFonts w:ascii="Arial" w:cs="Arial" w:eastAsia="Arial" w:hAnsi="Arial"/>
          <w:b/>
          <w:bCs/>
          <w:color w:val="1a1a2e"/>
          <w:sz w:val="26"/>
          <w:szCs w:val="26"/>
        </w:rPr>
        <w:t xml:space="preserve">7. Conclusion</w:t>
      </w:r>
    </w:p>
    <w:p>
      <w:pPr>
        <w:spacing w:after="140" w:line="276"/>
        <w:jc w:val="both"/>
      </w:pPr>
      <w:r>
        <w:rPr>
          <w:rFonts w:ascii="Arial" w:cs="Arial" w:eastAsia="Arial" w:hAnsi="Arial"/>
          <w:sz w:val="20"/>
          <w:szCs w:val="20"/>
        </w:rPr>
        <w:t xml:space="preserve">We presented a systematic comparison of BiLSTM-Attn and TFT architectures for 48-hour ICU mortality prediction from five haemodynamic vital signs on MIMIC-III. Our TFT achieves AUROC 0.884 and AUPRC 0.513, outperforming all baselines including established clinical severity scores by a wide margin. Ablation experiments demonstrate that variable selection networks, gated residual connections, and interpretable attention each contribute materially to predictive performance. Variable importance analysis aligns with clinical domain knowledge, identifying SpO2 and mean arterial pressure as the most prognostic signals in the vital-sign panel. Complete code, data pipeline, and model checkpoints are publicly released to support reproducibility and future comparisons.</w:t>
      </w:r>
    </w:p>
    <w:p>
      <w:pPr>
        <w:spacing w:after="140" w:line="276"/>
        <w:jc w:val="both"/>
      </w:pPr>
      <w:r>
        <w:rPr>
          <w:rFonts w:ascii="Arial" w:cs="Arial" w:eastAsia="Arial" w:hAnsi="Arial"/>
          <w:sz w:val="20"/>
          <w:szCs w:val="20"/>
        </w:rPr>
        <w:t xml:space="preserve">Future work will extend this framework to multi-horizon predictions, integrate laboratory and clinical text modalities, and perform prospective validation in a live clinical environment through integration with hospital EHR streaming pipelines.</w:t>
      </w:r>
    </w:p>
    <w:p>
      <w:r>
        <w:br w:type="page"/>
      </w:r>
    </w:p>
    <w:p>
      <w:pPr>
        <w:pStyle w:val="Heading1"/>
        <w:pBdr>
          <w:bottom w:val="single" w:color="dde3f4" w:sz="4" w:space="4"/>
        </w:pBdr>
        <w:spacing w:after="120" w:before="300"/>
      </w:pPr>
      <w:r>
        <w:rPr>
          <w:rFonts w:ascii="Arial" w:cs="Arial" w:eastAsia="Arial" w:hAnsi="Arial"/>
          <w:b/>
          <w:bCs/>
          <w:color w:val="1a1a2e"/>
          <w:sz w:val="26"/>
          <w:szCs w:val="26"/>
        </w:rPr>
        <w:t xml:space="preserve">References</w:t>
      </w:r>
    </w:p>
    <w:p>
      <w:pPr>
        <w:pBdr>
          <w:bottom w:val="single" w:color="dde3f4" w:sz="4" w:space="4"/>
        </w:pBdr>
        <w:spacing w:after="160"/>
      </w:pPr>
      <w:r>
        <w:rPr>
          <w:rFonts w:ascii="Arial" w:cs="Arial" w:eastAsia="Arial" w:hAnsi="Arial"/>
          <w:sz w:val="20"/>
          <w:szCs w:val="20"/>
        </w:rPr>
        <w:t xml:space="preserve"/>
      </w:r>
    </w:p>
    <w:p>
      <w:pPr>
        <w:pStyle w:val="ListParagraph"/>
        <w:numPr>
          <w:ilvl w:val="0"/>
          <w:numId w:val="4"/>
        </w:numPr>
        <w:spacing w:after="100" w:line="260"/>
      </w:pPr>
      <w:r>
        <w:rPr>
          <w:rFonts w:ascii="Arial" w:cs="Arial" w:eastAsia="Arial" w:hAnsi="Arial"/>
          <w:sz w:val="18"/>
          <w:szCs w:val="18"/>
        </w:rPr>
        <w:t xml:space="preserve">Vincent, J.-L., &amp; Singer, M. (2010). Critical care: advances and future perspectives. The Lancet, 376(9749), 1354–1361.</w:t>
      </w:r>
    </w:p>
    <w:p>
      <w:pPr>
        <w:pStyle w:val="ListParagraph"/>
        <w:numPr>
          <w:ilvl w:val="0"/>
          <w:numId w:val="4"/>
        </w:numPr>
        <w:spacing w:after="100" w:line="260"/>
      </w:pPr>
      <w:r>
        <w:rPr>
          <w:rFonts w:ascii="Arial" w:cs="Arial" w:eastAsia="Arial" w:hAnsi="Arial"/>
          <w:sz w:val="18"/>
          <w:szCs w:val="18"/>
        </w:rPr>
        <w:t xml:space="preserve">Knaus, W. A., Draper, E. A., Wagner, D. P., &amp; Zimmerman, J. E. (1985). APACHE II: A severity of disease classification system. Critical Care Medicine, 13(10), 818–829.</w:t>
      </w:r>
    </w:p>
    <w:p>
      <w:pPr>
        <w:pStyle w:val="ListParagraph"/>
        <w:numPr>
          <w:ilvl w:val="0"/>
          <w:numId w:val="4"/>
        </w:numPr>
        <w:spacing w:after="100" w:line="260"/>
      </w:pPr>
      <w:r>
        <w:rPr>
          <w:rFonts w:ascii="Arial" w:cs="Arial" w:eastAsia="Arial" w:hAnsi="Arial"/>
          <w:sz w:val="18"/>
          <w:szCs w:val="18"/>
        </w:rPr>
        <w:t xml:space="preserve">Le Gall, J.-R., Lemeshow, S., &amp; Saulnier, F. (1993). A new simplified acute physiology score (SAPS II). JAMA, 270(24), 2957–2963.</w:t>
      </w:r>
    </w:p>
    <w:p>
      <w:pPr>
        <w:pStyle w:val="ListParagraph"/>
        <w:numPr>
          <w:ilvl w:val="0"/>
          <w:numId w:val="4"/>
        </w:numPr>
        <w:spacing w:after="100" w:line="260"/>
      </w:pPr>
      <w:r>
        <w:rPr>
          <w:rFonts w:ascii="Arial" w:cs="Arial" w:eastAsia="Arial" w:hAnsi="Arial"/>
          <w:sz w:val="18"/>
          <w:szCs w:val="18"/>
        </w:rPr>
        <w:t xml:space="preserve">Vincent, J.-L., et al. (1996). The SOFA score to describe organ dysfunction/failure. Intensive Care Medicine, 22(7), 707–710.</w:t>
      </w:r>
    </w:p>
    <w:p>
      <w:pPr>
        <w:pStyle w:val="ListParagraph"/>
        <w:numPr>
          <w:ilvl w:val="0"/>
          <w:numId w:val="4"/>
        </w:numPr>
        <w:spacing w:after="100" w:line="260"/>
      </w:pPr>
      <w:r>
        <w:rPr>
          <w:rFonts w:ascii="Arial" w:cs="Arial" w:eastAsia="Arial" w:hAnsi="Arial"/>
          <w:sz w:val="18"/>
          <w:szCs w:val="18"/>
        </w:rPr>
        <w:t xml:space="preserve">Johnson, A. E. W., et al. (2016). MIMIC-III, a freely accessible critical care database. Scientific Data, 3, 160035.</w:t>
      </w:r>
    </w:p>
    <w:p>
      <w:pPr>
        <w:pStyle w:val="ListParagraph"/>
        <w:numPr>
          <w:ilvl w:val="0"/>
          <w:numId w:val="4"/>
        </w:numPr>
        <w:spacing w:after="100" w:line="260"/>
      </w:pPr>
      <w:r>
        <w:rPr>
          <w:rFonts w:ascii="Arial" w:cs="Arial" w:eastAsia="Arial" w:hAnsi="Arial"/>
          <w:sz w:val="18"/>
          <w:szCs w:val="18"/>
        </w:rPr>
        <w:t xml:space="preserve">Ghassemi, M., et al. (2014). Unfolding physiological state: Mortality modelling in ICUs. Proc. ACM SIGKDD, 75–84.</w:t>
      </w:r>
    </w:p>
    <w:p>
      <w:pPr>
        <w:pStyle w:val="ListParagraph"/>
        <w:numPr>
          <w:ilvl w:val="0"/>
          <w:numId w:val="4"/>
        </w:numPr>
        <w:spacing w:after="100" w:line="260"/>
      </w:pPr>
      <w:r>
        <w:rPr>
          <w:rFonts w:ascii="Arial" w:cs="Arial" w:eastAsia="Arial" w:hAnsi="Arial"/>
          <w:sz w:val="18"/>
          <w:szCs w:val="18"/>
        </w:rPr>
        <w:t xml:space="preserve">Purushotham, S., Meng, C., Che, Z., &amp; Liu, Y. (2018). Benchmarking deep learning models on large healthcare datasets. Journal of Biomedical Informatics, 83, 112–134.</w:t>
      </w:r>
    </w:p>
    <w:p>
      <w:pPr>
        <w:pStyle w:val="ListParagraph"/>
        <w:numPr>
          <w:ilvl w:val="0"/>
          <w:numId w:val="4"/>
        </w:numPr>
        <w:spacing w:after="100" w:line="260"/>
      </w:pPr>
      <w:r>
        <w:rPr>
          <w:rFonts w:ascii="Arial" w:cs="Arial" w:eastAsia="Arial" w:hAnsi="Arial"/>
          <w:sz w:val="18"/>
          <w:szCs w:val="18"/>
        </w:rPr>
        <w:t xml:space="preserve">Harutyunyan, H., et al. (2019). Multitask learning and benchmarking with clinical time series data. Scientific Data, 6, 96.</w:t>
      </w:r>
    </w:p>
    <w:p>
      <w:pPr>
        <w:pStyle w:val="ListParagraph"/>
        <w:numPr>
          <w:ilvl w:val="0"/>
          <w:numId w:val="4"/>
        </w:numPr>
        <w:spacing w:after="100" w:line="260"/>
      </w:pPr>
      <w:r>
        <w:rPr>
          <w:rFonts w:ascii="Arial" w:cs="Arial" w:eastAsia="Arial" w:hAnsi="Arial"/>
          <w:sz w:val="18"/>
          <w:szCs w:val="18"/>
        </w:rPr>
        <w:t xml:space="preserve">Grnarova, P., Schmidt, F., Hyland, S. L., &amp; Eickhoff, C. (2016). Neural document embeddings for intensive care patient mortality prediction. arXiv:1612.00467.</w:t>
      </w:r>
    </w:p>
    <w:p>
      <w:pPr>
        <w:pStyle w:val="ListParagraph"/>
        <w:numPr>
          <w:ilvl w:val="0"/>
          <w:numId w:val="4"/>
        </w:numPr>
        <w:spacing w:after="100" w:line="260"/>
      </w:pPr>
      <w:r>
        <w:rPr>
          <w:rFonts w:ascii="Arial" w:cs="Arial" w:eastAsia="Arial" w:hAnsi="Arial"/>
          <w:sz w:val="18"/>
          <w:szCs w:val="18"/>
        </w:rPr>
        <w:t xml:space="preserve">Kaji, D. A., et al. (2019). An attention-based deep learning model of clinical events in the ICU. PLOS ONE, 14(2), e0211057.</w:t>
      </w:r>
    </w:p>
    <w:p>
      <w:pPr>
        <w:pStyle w:val="ListParagraph"/>
        <w:numPr>
          <w:ilvl w:val="0"/>
          <w:numId w:val="4"/>
        </w:numPr>
        <w:spacing w:after="100" w:line="260"/>
      </w:pPr>
      <w:r>
        <w:rPr>
          <w:rFonts w:ascii="Arial" w:cs="Arial" w:eastAsia="Arial" w:hAnsi="Arial"/>
          <w:sz w:val="18"/>
          <w:szCs w:val="18"/>
        </w:rPr>
        <w:t xml:space="preserve">Sheikhalishahi, S., Balaraman, V., &amp; Osmani, V. (2019). Benchmarking machine learning models on multi-centre eICU collaborative research database. arXiv:1910.00964.</w:t>
      </w:r>
    </w:p>
    <w:p>
      <w:pPr>
        <w:pStyle w:val="ListParagraph"/>
        <w:numPr>
          <w:ilvl w:val="0"/>
          <w:numId w:val="4"/>
        </w:numPr>
        <w:spacing w:after="100" w:line="260"/>
      </w:pPr>
      <w:r>
        <w:rPr>
          <w:rFonts w:ascii="Arial" w:cs="Arial" w:eastAsia="Arial" w:hAnsi="Arial"/>
          <w:sz w:val="18"/>
          <w:szCs w:val="18"/>
        </w:rPr>
        <w:t xml:space="preserve">Moor, M., et al. (2019). Early recognition of sepsis with Gaussian process temporal convolutional networks. MLHC 2019.</w:t>
      </w:r>
    </w:p>
    <w:p>
      <w:pPr>
        <w:pStyle w:val="ListParagraph"/>
        <w:numPr>
          <w:ilvl w:val="0"/>
          <w:numId w:val="4"/>
        </w:numPr>
        <w:spacing w:after="100" w:line="260"/>
      </w:pPr>
      <w:r>
        <w:rPr>
          <w:rFonts w:ascii="Arial" w:cs="Arial" w:eastAsia="Arial" w:hAnsi="Arial"/>
          <w:sz w:val="18"/>
          <w:szCs w:val="18"/>
        </w:rPr>
        <w:t xml:space="preserve">Lim, B., Arik, S. O., Loeff, N., &amp; Pfister, T. (2021). Temporal fusion transformers for interpretable multi-horizon time series forecasting. International Journal of Forecasting, 37(4), 1748–1764.</w:t>
      </w:r>
    </w:p>
    <w:p>
      <w:pPr>
        <w:pStyle w:val="ListParagraph"/>
        <w:numPr>
          <w:ilvl w:val="0"/>
          <w:numId w:val="4"/>
        </w:numPr>
        <w:spacing w:after="100" w:line="260"/>
      </w:pPr>
      <w:r>
        <w:rPr>
          <w:rFonts w:ascii="Arial" w:cs="Arial" w:eastAsia="Arial" w:hAnsi="Arial"/>
          <w:sz w:val="18"/>
          <w:szCs w:val="18"/>
        </w:rPr>
        <w:t xml:space="preserve">Zimmerman, J. E., et al. (2006). APACHE IV: Hospital mortality assessment. Critical Care Medicine, 34(5), 1297–1310.</w:t>
      </w:r>
    </w:p>
    <w:p>
      <w:pPr>
        <w:pStyle w:val="ListParagraph"/>
        <w:numPr>
          <w:ilvl w:val="0"/>
          <w:numId w:val="4"/>
        </w:numPr>
        <w:spacing w:after="100" w:line="260"/>
      </w:pPr>
      <w:r>
        <w:rPr>
          <w:rFonts w:ascii="Arial" w:cs="Arial" w:eastAsia="Arial" w:hAnsi="Arial"/>
          <w:sz w:val="18"/>
          <w:szCs w:val="18"/>
        </w:rPr>
        <w:t xml:space="preserve">Che, Z., Purushotham, S., Cho, K., Sontag, D., &amp; Liu, Y. (2018). Recurrent neural networks for multivariate time series with missing values. Scientific Reports, 8(1), 6085.</w:t>
      </w:r>
    </w:p>
    <w:p>
      <w:pPr>
        <w:pStyle w:val="ListParagraph"/>
        <w:numPr>
          <w:ilvl w:val="0"/>
          <w:numId w:val="4"/>
        </w:numPr>
        <w:spacing w:after="100" w:line="260"/>
      </w:pPr>
      <w:r>
        <w:rPr>
          <w:rFonts w:ascii="Arial" w:cs="Arial" w:eastAsia="Arial" w:hAnsi="Arial"/>
          <w:sz w:val="18"/>
          <w:szCs w:val="18"/>
        </w:rPr>
        <w:t xml:space="preserve">Shukla, S. N., &amp; Marlin, B. M. (2019). Interpolation-prediction networks for irregularly sampled time series. ICLR 2019.</w:t>
      </w:r>
    </w:p>
    <w:p>
      <w:pPr>
        <w:pStyle w:val="ListParagraph"/>
        <w:numPr>
          <w:ilvl w:val="0"/>
          <w:numId w:val="4"/>
        </w:numPr>
        <w:spacing w:after="100" w:line="260"/>
      </w:pPr>
      <w:r>
        <w:rPr>
          <w:rFonts w:ascii="Arial" w:cs="Arial" w:eastAsia="Arial" w:hAnsi="Arial"/>
          <w:sz w:val="18"/>
          <w:szCs w:val="18"/>
        </w:rPr>
        <w:t xml:space="preserve">Topol, E. J. (2019). High-performance medicine: the convergence of human and artificial intelligence. Nature Medicine, 25(1), 44–56.</w:t>
      </w:r>
    </w:p>
    <w:p>
      <w:pPr>
        <w:pStyle w:val="ListParagraph"/>
        <w:numPr>
          <w:ilvl w:val="0"/>
          <w:numId w:val="4"/>
        </w:numPr>
        <w:spacing w:after="100" w:line="260"/>
      </w:pPr>
      <w:r>
        <w:rPr>
          <w:rFonts w:ascii="Arial" w:cs="Arial" w:eastAsia="Arial" w:hAnsi="Arial"/>
          <w:sz w:val="18"/>
          <w:szCs w:val="18"/>
        </w:rPr>
        <w:t xml:space="preserve">Sundararajan, M., Taly, A., &amp; Yan, Q. (2017). Axiomatic attribution for deep networks. ICML 2017, 3319–3328.</w:t>
      </w:r>
    </w:p>
    <w:p>
      <w:pPr>
        <w:pStyle w:val="ListParagraph"/>
        <w:numPr>
          <w:ilvl w:val="0"/>
          <w:numId w:val="4"/>
        </w:numPr>
        <w:spacing w:after="100" w:line="260"/>
      </w:pPr>
      <w:r>
        <w:rPr>
          <w:rFonts w:ascii="Arial" w:cs="Arial" w:eastAsia="Arial" w:hAnsi="Arial"/>
          <w:sz w:val="18"/>
          <w:szCs w:val="18"/>
        </w:rPr>
        <w:t xml:space="preserve">Lundberg, S. M., &amp; Lee, S.-I. (2017). A unified approach to interpreting model predictions. NeurIPS 2017, 4765–4774.</w:t>
      </w:r>
    </w:p>
    <w:p>
      <w:pPr>
        <w:pStyle w:val="ListParagraph"/>
        <w:numPr>
          <w:ilvl w:val="0"/>
          <w:numId w:val="4"/>
        </w:numPr>
        <w:spacing w:after="100" w:line="260"/>
      </w:pPr>
      <w:r>
        <w:rPr>
          <w:rFonts w:ascii="Arial" w:cs="Arial" w:eastAsia="Arial" w:hAnsi="Arial"/>
          <w:sz w:val="18"/>
          <w:szCs w:val="18"/>
        </w:rPr>
        <w:t xml:space="preserve">Singer, M., et al. (2016). The third international consensus definitions for sepsis and septic shock (Sepsis-3). JAMA, 315(8), 801–810.</w:t>
      </w:r>
    </w:p>
    <w:p>
      <w:pPr>
        <w:pStyle w:val="ListParagraph"/>
        <w:numPr>
          <w:ilvl w:val="0"/>
          <w:numId w:val="4"/>
        </w:numPr>
        <w:spacing w:after="100" w:line="260"/>
      </w:pPr>
      <w:r>
        <w:rPr>
          <w:rFonts w:ascii="Arial" w:cs="Arial" w:eastAsia="Arial" w:hAnsi="Arial"/>
          <w:sz w:val="18"/>
          <w:szCs w:val="18"/>
        </w:rPr>
        <w:t xml:space="preserve">Wang, S., et al. (2020). MIMIC-Extract: A data extraction, preprocessing, and representation pipeline for MIMIC-III. ACM CHIL 2020, 222–235.</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f4" w:sz="4" w:space="4"/>
      </w:pBdr>
      <w:spacing w:before="80"/>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f4" w:sz="4" w:space="4"/>
      </w:pBdr>
      <w:spacing w:after="80"/>
      <w:jc w:val="right"/>
    </w:pPr>
    <w:r>
      <w:rPr>
        <w:rFonts w:ascii="Arial" w:cs="Arial" w:eastAsia="Arial" w:hAnsi="Arial"/>
        <w:i/>
        <w:iCs/>
        <w:color w:val="555555"/>
        <w:sz w:val="16"/>
        <w:szCs w:val="16"/>
      </w:rPr>
      <w:t xml:space="preserve">ICU Mortality Prediction with BiLSTM-Attn and TFT | MIMIC-III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b w:val="false"/>
        <w:bCs w:val="false"/>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60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1a2e"/>
      <w:sz w:val="26"/>
      <w:szCs w:val="26"/>
    </w:rPr>
  </w:style>
  <w:style w:type="paragraph" w:styleId="Heading2">
    <w:name w:val="Heading 2"/>
    <w:basedOn w:val="Normal"/>
    <w:next w:val="Normal"/>
    <w:qFormat/>
    <w:pPr>
      <w:spacing w:after="80" w:before="220"/>
      <w:outlineLvl w:val="1"/>
    </w:pPr>
    <w:rPr>
      <w:rFonts w:ascii="Arial" w:cs="Arial" w:eastAsia="Arial" w:hAnsi="Arial"/>
      <w:b/>
      <w:bCs/>
      <w:color w:val="2d2d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2026-05-20T17:44:09.073Z</dcterms:created>
  <dcterms:modified xsi:type="dcterms:W3CDTF">2026-05-20T17:44:09.073Z</dcterms:modified>
</cp:coreProperties>
</file>

<file path=docProps/custom.xml><?xml version="1.0" encoding="utf-8"?>
<Properties xmlns="http://schemas.openxmlformats.org/officeDocument/2006/custom-properties" xmlns:vt="http://schemas.openxmlformats.org/officeDocument/2006/docPropsVTypes"/>
</file>