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TCSSOP jointly optimizes sample sizes, chamber settings, and schedules</w:t>
      </w:r>
    </w:p>
    <w:p>
      <w:pPr>
        <w:pStyle w:val="ListBullet"/>
      </w:pPr>
      <w:r>
        <w:t>Sample decisions create decision-dependent pull-down and parallelism trade-offs</w:t>
      </w:r>
    </w:p>
    <w:p>
      <w:pPr>
        <w:pStyle w:val="ListBullet"/>
      </w:pPr>
      <w:r>
        <w:t>Iterative framework combines chamber assignment, sample search, and EDD scheduling</w:t>
      </w:r>
    </w:p>
    <w:p>
      <w:pPr>
        <w:pStyle w:val="ListBullet"/>
      </w:pPr>
      <w:r>
        <w:t>Equal-budget FS(6) remains far worse, proving allocation—not quantity—drives gains</w:t>
      </w:r>
    </w:p>
    <w:p>
      <w:pPr>
        <w:pStyle w:val="ListBullet"/>
      </w:pPr>
      <w:r>
        <w:t>Best setting uses 0.20–0.30 VNS fallback with K_max=200 across 90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