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D97F" w14:textId="77777777" w:rsidR="0077607C" w:rsidRDefault="0077607C" w:rsidP="0077607C">
      <w:pPr>
        <w:spacing w:after="160" w:line="278" w:lineRule="auto"/>
        <w:jc w:val="center"/>
        <w:rPr>
          <w:rFonts w:ascii="Arial" w:eastAsia="Arial" w:hAnsi="Arial" w:cs="Arial"/>
          <w:b/>
          <w:bCs/>
          <w:sz w:val="42"/>
          <w:szCs w:val="42"/>
        </w:rPr>
      </w:pPr>
      <w:r>
        <w:rPr>
          <w:rFonts w:ascii="Arial" w:eastAsia="Arial" w:hAnsi="Arial" w:cs="Arial"/>
          <w:b/>
          <w:bCs/>
          <w:sz w:val="42"/>
          <w:szCs w:val="42"/>
        </w:rPr>
        <w:t>Critical vulnerabilities and Zero-Days</w:t>
      </w:r>
    </w:p>
    <w:p w14:paraId="0FBEBE66" w14:textId="77777777" w:rsidR="0077607C" w:rsidRDefault="0077607C" w:rsidP="0077607C">
      <w:pPr>
        <w:spacing w:after="160" w:line="278" w:lineRule="auto"/>
        <w:jc w:val="both"/>
        <w:rPr>
          <w:rFonts w:ascii="Arial" w:eastAsia="Arial" w:hAnsi="Arial" w:cs="Arial"/>
          <w:i/>
          <w:iCs/>
          <w:sz w:val="22"/>
          <w:szCs w:val="22"/>
        </w:rPr>
      </w:pPr>
      <w:r>
        <w:rPr>
          <w:rFonts w:ascii="Arial" w:eastAsia="Arial" w:hAnsi="Arial" w:cs="Arial"/>
          <w:i/>
          <w:iCs/>
          <w:sz w:val="22"/>
          <w:szCs w:val="22"/>
        </w:rPr>
        <w:t>Critical vulnerabilities and zero-day threats represent high-stakes challenges in cybersecurity.</w:t>
      </w:r>
    </w:p>
    <w:p w14:paraId="239AF9B1" w14:textId="77777777" w:rsidR="0077607C" w:rsidRDefault="0077607C" w:rsidP="0077607C">
      <w:pPr>
        <w:spacing w:after="160" w:line="278" w:lineRule="auto"/>
        <w:jc w:val="both"/>
        <w:rPr>
          <w:rFonts w:ascii="Arial" w:eastAsia="Arial" w:hAnsi="Arial" w:cs="Arial"/>
          <w:i/>
          <w:iCs/>
          <w:sz w:val="22"/>
          <w:szCs w:val="22"/>
        </w:rPr>
      </w:pPr>
      <w:r>
        <w:rPr>
          <w:rFonts w:ascii="Arial" w:eastAsia="Arial" w:hAnsi="Arial" w:cs="Arial"/>
          <w:i/>
          <w:iCs/>
          <w:sz w:val="22"/>
          <w:szCs w:val="22"/>
        </w:rPr>
        <w:t xml:space="preserve">Because zero-day threats are </w:t>
      </w:r>
      <w:proofErr w:type="gramStart"/>
      <w:r>
        <w:rPr>
          <w:rFonts w:ascii="Arial" w:eastAsia="Arial" w:hAnsi="Arial" w:cs="Arial"/>
          <w:i/>
          <w:iCs/>
          <w:sz w:val="22"/>
          <w:szCs w:val="22"/>
        </w:rPr>
        <w:t>by definition unknown</w:t>
      </w:r>
      <w:proofErr w:type="gramEnd"/>
      <w:r>
        <w:rPr>
          <w:rFonts w:ascii="Arial" w:eastAsia="Arial" w:hAnsi="Arial" w:cs="Arial"/>
          <w:i/>
          <w:iCs/>
          <w:sz w:val="22"/>
          <w:szCs w:val="22"/>
        </w:rPr>
        <w:t xml:space="preserve"> (no patch or signature exists), your focus must shift from preventing the initial exploitation to minimizing the blast radius and rapidly restoring operations</w:t>
      </w:r>
    </w:p>
    <w:p w14:paraId="0B69BC58" w14:textId="77777777" w:rsidR="0077607C" w:rsidRDefault="0077607C" w:rsidP="0077607C">
      <w:pPr>
        <w:spacing w:after="160" w:line="278" w:lineRule="auto"/>
        <w:jc w:val="both"/>
        <w:rPr>
          <w:rFonts w:ascii="Arial" w:eastAsia="Arial" w:hAnsi="Arial" w:cs="Arial"/>
          <w:i/>
          <w:iCs/>
          <w:sz w:val="22"/>
          <w:szCs w:val="22"/>
        </w:rPr>
      </w:pPr>
      <w:r>
        <w:rPr>
          <w:rFonts w:ascii="Arial" w:eastAsia="Arial" w:hAnsi="Arial" w:cs="Arial"/>
          <w:i/>
          <w:iCs/>
          <w:sz w:val="22"/>
          <w:szCs w:val="22"/>
        </w:rPr>
        <w:t>The best way to prepare for and solve critical vulnerabilities and zero-day events is to move beyond signature-based detection and adopt a proactive, resilience-oriented strategy grounded in a structured framework like the NIST Cybersecurity Framework (CSF) 2.0. (fig.1)</w:t>
      </w:r>
    </w:p>
    <w:tbl>
      <w:tblPr>
        <w:tblW w:w="8790" w:type="dxa"/>
        <w:tblBorders>
          <w:top w:val="nil"/>
          <w:left w:val="nil"/>
          <w:bottom w:val="nil"/>
          <w:right w:val="nil"/>
          <w:insideH w:val="nil"/>
          <w:insideV w:val="nil"/>
        </w:tblBorders>
        <w:tblLayout w:type="fixed"/>
        <w:tblLook w:val="0600" w:firstRow="0" w:lastRow="0" w:firstColumn="0" w:lastColumn="0" w:noHBand="1" w:noVBand="1"/>
      </w:tblPr>
      <w:tblGrid>
        <w:gridCol w:w="2445"/>
        <w:gridCol w:w="2700"/>
        <w:gridCol w:w="3645"/>
      </w:tblGrid>
      <w:tr w:rsidR="0077607C" w14:paraId="0B0655F4" w14:textId="77777777" w:rsidTr="002B7136">
        <w:trPr>
          <w:trHeight w:val="975"/>
        </w:trPr>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6B228E" w14:textId="77777777" w:rsidR="0077607C" w:rsidRDefault="0077607C" w:rsidP="002B7136">
            <w:pPr>
              <w:spacing w:after="160" w:line="278" w:lineRule="auto"/>
              <w:jc w:val="both"/>
              <w:rPr>
                <w:rFonts w:ascii="Arial" w:eastAsia="Arial" w:hAnsi="Arial" w:cs="Arial"/>
                <w:b/>
                <w:bCs/>
                <w:i/>
                <w:iCs/>
                <w:sz w:val="22"/>
                <w:szCs w:val="22"/>
              </w:rPr>
            </w:pPr>
            <w:r>
              <w:rPr>
                <w:rFonts w:ascii="Arial" w:eastAsia="Arial" w:hAnsi="Arial" w:cs="Arial"/>
                <w:b/>
                <w:bCs/>
                <w:i/>
                <w:iCs/>
                <w:sz w:val="22"/>
                <w:szCs w:val="22"/>
              </w:rPr>
              <w:t>Feature</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99055" w14:textId="77777777" w:rsidR="0077607C" w:rsidRDefault="0077607C" w:rsidP="002B7136">
            <w:pPr>
              <w:spacing w:after="160" w:line="278" w:lineRule="auto"/>
              <w:jc w:val="both"/>
              <w:rPr>
                <w:rFonts w:ascii="Arial" w:eastAsia="Arial" w:hAnsi="Arial" w:cs="Arial"/>
                <w:b/>
                <w:bCs/>
                <w:i/>
                <w:iCs/>
                <w:sz w:val="22"/>
                <w:szCs w:val="22"/>
              </w:rPr>
            </w:pPr>
            <w:r>
              <w:rPr>
                <w:rFonts w:ascii="Arial" w:eastAsia="Arial" w:hAnsi="Arial" w:cs="Arial"/>
                <w:b/>
                <w:bCs/>
                <w:i/>
                <w:iCs/>
                <w:sz w:val="22"/>
                <w:szCs w:val="22"/>
              </w:rPr>
              <w:t>Critical Vulnerability</w:t>
            </w:r>
          </w:p>
        </w:tc>
        <w:tc>
          <w:tcPr>
            <w:tcW w:w="36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C2D230" w14:textId="77777777" w:rsidR="0077607C" w:rsidRDefault="0077607C" w:rsidP="002B7136">
            <w:pPr>
              <w:spacing w:after="160" w:line="278" w:lineRule="auto"/>
              <w:jc w:val="both"/>
              <w:rPr>
                <w:rFonts w:ascii="Arial" w:eastAsia="Arial" w:hAnsi="Arial" w:cs="Arial"/>
                <w:b/>
                <w:bCs/>
                <w:i/>
                <w:iCs/>
                <w:sz w:val="22"/>
                <w:szCs w:val="22"/>
              </w:rPr>
            </w:pPr>
            <w:r>
              <w:rPr>
                <w:rFonts w:ascii="Arial" w:eastAsia="Arial" w:hAnsi="Arial" w:cs="Arial"/>
                <w:b/>
                <w:bCs/>
                <w:i/>
                <w:iCs/>
                <w:sz w:val="22"/>
                <w:szCs w:val="22"/>
              </w:rPr>
              <w:t>Zero-Day Vulnerability</w:t>
            </w:r>
          </w:p>
        </w:tc>
      </w:tr>
      <w:tr w:rsidR="0077607C" w14:paraId="5CD710FB" w14:textId="77777777" w:rsidTr="002B7136">
        <w:trPr>
          <w:trHeight w:val="975"/>
        </w:trPr>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1C354E" w14:textId="77777777" w:rsidR="0077607C" w:rsidRDefault="0077607C" w:rsidP="002B7136">
            <w:pPr>
              <w:spacing w:after="160" w:line="278" w:lineRule="auto"/>
              <w:jc w:val="both"/>
              <w:rPr>
                <w:rFonts w:ascii="Arial" w:eastAsia="Arial" w:hAnsi="Arial" w:cs="Arial"/>
                <w:b/>
                <w:bCs/>
                <w:i/>
                <w:iCs/>
                <w:sz w:val="22"/>
                <w:szCs w:val="22"/>
              </w:rPr>
            </w:pPr>
            <w:r>
              <w:rPr>
                <w:rFonts w:ascii="Arial" w:eastAsia="Arial" w:hAnsi="Arial" w:cs="Arial"/>
                <w:b/>
                <w:bCs/>
                <w:i/>
                <w:iCs/>
                <w:sz w:val="22"/>
                <w:szCs w:val="22"/>
              </w:rPr>
              <w:t>Vendor Knowledge</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35A5A4" w14:textId="77777777" w:rsidR="0077607C" w:rsidRDefault="0077607C" w:rsidP="002B7136">
            <w:pPr>
              <w:spacing w:after="160" w:line="278" w:lineRule="auto"/>
              <w:jc w:val="both"/>
              <w:rPr>
                <w:rFonts w:ascii="Arial" w:eastAsia="Arial" w:hAnsi="Arial" w:cs="Arial"/>
                <w:i/>
                <w:iCs/>
                <w:sz w:val="22"/>
                <w:szCs w:val="22"/>
              </w:rPr>
            </w:pPr>
            <w:r>
              <w:rPr>
                <w:rFonts w:ascii="Arial" w:eastAsia="Arial" w:hAnsi="Arial" w:cs="Arial"/>
                <w:i/>
                <w:iCs/>
                <w:sz w:val="22"/>
                <w:szCs w:val="22"/>
              </w:rPr>
              <w:t>Known</w:t>
            </w:r>
          </w:p>
        </w:tc>
        <w:tc>
          <w:tcPr>
            <w:tcW w:w="36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202FD0" w14:textId="77777777" w:rsidR="0077607C" w:rsidRDefault="0077607C" w:rsidP="002B7136">
            <w:pPr>
              <w:spacing w:after="160" w:line="278" w:lineRule="auto"/>
              <w:jc w:val="both"/>
              <w:rPr>
                <w:rFonts w:ascii="Arial" w:eastAsia="Arial" w:hAnsi="Arial" w:cs="Arial"/>
                <w:i/>
                <w:iCs/>
                <w:sz w:val="22"/>
                <w:szCs w:val="22"/>
              </w:rPr>
            </w:pPr>
            <w:r>
              <w:rPr>
                <w:rFonts w:ascii="Arial" w:eastAsia="Arial" w:hAnsi="Arial" w:cs="Arial"/>
                <w:i/>
                <w:iCs/>
                <w:sz w:val="22"/>
                <w:szCs w:val="22"/>
              </w:rPr>
              <w:t>Unknown</w:t>
            </w:r>
          </w:p>
        </w:tc>
      </w:tr>
      <w:tr w:rsidR="0077607C" w14:paraId="4EED6242" w14:textId="77777777" w:rsidTr="002B7136">
        <w:trPr>
          <w:trHeight w:val="975"/>
        </w:trPr>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B365E5" w14:textId="77777777" w:rsidR="0077607C" w:rsidRDefault="0077607C" w:rsidP="002B7136">
            <w:pPr>
              <w:spacing w:after="160" w:line="278" w:lineRule="auto"/>
              <w:jc w:val="both"/>
              <w:rPr>
                <w:rFonts w:ascii="Arial" w:eastAsia="Arial" w:hAnsi="Arial" w:cs="Arial"/>
                <w:b/>
                <w:bCs/>
                <w:i/>
                <w:iCs/>
                <w:sz w:val="22"/>
                <w:szCs w:val="22"/>
              </w:rPr>
            </w:pPr>
            <w:r>
              <w:rPr>
                <w:rFonts w:ascii="Arial" w:eastAsia="Arial" w:hAnsi="Arial" w:cs="Arial"/>
                <w:b/>
                <w:bCs/>
                <w:i/>
                <w:iCs/>
                <w:sz w:val="22"/>
                <w:szCs w:val="22"/>
              </w:rPr>
              <w:t>Defense Strategy</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58CD92" w14:textId="77777777" w:rsidR="0077607C" w:rsidRDefault="0077607C" w:rsidP="002B7136">
            <w:pPr>
              <w:spacing w:after="160" w:line="278" w:lineRule="auto"/>
              <w:jc w:val="both"/>
              <w:rPr>
                <w:rFonts w:ascii="Arial" w:eastAsia="Arial" w:hAnsi="Arial" w:cs="Arial"/>
                <w:i/>
                <w:iCs/>
                <w:sz w:val="22"/>
                <w:szCs w:val="22"/>
              </w:rPr>
            </w:pPr>
            <w:r>
              <w:rPr>
                <w:rFonts w:ascii="Arial" w:eastAsia="Arial" w:hAnsi="Arial" w:cs="Arial"/>
                <w:i/>
                <w:iCs/>
                <w:sz w:val="22"/>
                <w:szCs w:val="22"/>
              </w:rPr>
              <w:t>Patch Management</w:t>
            </w:r>
          </w:p>
        </w:tc>
        <w:tc>
          <w:tcPr>
            <w:tcW w:w="36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D32989" w14:textId="77777777" w:rsidR="0077607C" w:rsidRDefault="0077607C" w:rsidP="002B7136">
            <w:pPr>
              <w:spacing w:after="160" w:line="278" w:lineRule="auto"/>
              <w:jc w:val="both"/>
              <w:rPr>
                <w:rFonts w:ascii="Arial" w:eastAsia="Arial" w:hAnsi="Arial" w:cs="Arial"/>
                <w:i/>
                <w:iCs/>
                <w:sz w:val="22"/>
                <w:szCs w:val="22"/>
              </w:rPr>
            </w:pPr>
            <w:r>
              <w:rPr>
                <w:rFonts w:ascii="Arial" w:eastAsia="Arial" w:hAnsi="Arial" w:cs="Arial"/>
                <w:i/>
                <w:iCs/>
                <w:sz w:val="22"/>
                <w:szCs w:val="22"/>
              </w:rPr>
              <w:t>Behavioral Monitoring &amp; Isolation</w:t>
            </w:r>
          </w:p>
        </w:tc>
      </w:tr>
      <w:tr w:rsidR="0077607C" w14:paraId="56CA2737" w14:textId="77777777" w:rsidTr="002B7136">
        <w:trPr>
          <w:trHeight w:val="975"/>
        </w:trPr>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DF50A0" w14:textId="77777777" w:rsidR="0077607C" w:rsidRDefault="0077607C" w:rsidP="002B7136">
            <w:pPr>
              <w:spacing w:after="160" w:line="278" w:lineRule="auto"/>
              <w:jc w:val="both"/>
              <w:rPr>
                <w:rFonts w:ascii="Arial" w:eastAsia="Arial" w:hAnsi="Arial" w:cs="Arial"/>
                <w:b/>
                <w:bCs/>
                <w:i/>
                <w:iCs/>
                <w:sz w:val="22"/>
                <w:szCs w:val="22"/>
              </w:rPr>
            </w:pPr>
            <w:r>
              <w:rPr>
                <w:rFonts w:ascii="Arial" w:eastAsia="Arial" w:hAnsi="Arial" w:cs="Arial"/>
                <w:b/>
                <w:bCs/>
                <w:i/>
                <w:iCs/>
                <w:sz w:val="22"/>
                <w:szCs w:val="22"/>
              </w:rPr>
              <w:t>Reaction Time</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24CB04" w14:textId="77777777" w:rsidR="0077607C" w:rsidRDefault="0077607C" w:rsidP="002B7136">
            <w:pPr>
              <w:spacing w:after="160" w:line="278" w:lineRule="auto"/>
              <w:jc w:val="both"/>
              <w:rPr>
                <w:rFonts w:ascii="Arial" w:eastAsia="Arial" w:hAnsi="Arial" w:cs="Arial"/>
                <w:i/>
                <w:iCs/>
                <w:sz w:val="22"/>
                <w:szCs w:val="22"/>
              </w:rPr>
            </w:pPr>
            <w:r>
              <w:rPr>
                <w:rFonts w:ascii="Arial" w:eastAsia="Arial" w:hAnsi="Arial" w:cs="Arial"/>
                <w:i/>
                <w:iCs/>
                <w:sz w:val="22"/>
                <w:szCs w:val="22"/>
              </w:rPr>
              <w:t>Scheduled (Prioritized)</w:t>
            </w:r>
          </w:p>
        </w:tc>
        <w:tc>
          <w:tcPr>
            <w:tcW w:w="36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8D1779" w14:textId="77777777" w:rsidR="0077607C" w:rsidRDefault="0077607C" w:rsidP="002B7136">
            <w:pPr>
              <w:spacing w:after="160" w:line="278" w:lineRule="auto"/>
              <w:jc w:val="both"/>
              <w:rPr>
                <w:rFonts w:ascii="Arial" w:eastAsia="Arial" w:hAnsi="Arial" w:cs="Arial"/>
                <w:i/>
                <w:iCs/>
                <w:sz w:val="22"/>
                <w:szCs w:val="22"/>
              </w:rPr>
            </w:pPr>
            <w:r>
              <w:rPr>
                <w:rFonts w:ascii="Arial" w:eastAsia="Arial" w:hAnsi="Arial" w:cs="Arial"/>
                <w:i/>
                <w:iCs/>
                <w:sz w:val="22"/>
                <w:szCs w:val="22"/>
              </w:rPr>
              <w:t>Immediate (Crisis Response)</w:t>
            </w:r>
          </w:p>
        </w:tc>
      </w:tr>
      <w:tr w:rsidR="0077607C" w14:paraId="52FB07EE" w14:textId="77777777" w:rsidTr="002B7136">
        <w:trPr>
          <w:trHeight w:val="705"/>
        </w:trPr>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4F53E8" w14:textId="77777777" w:rsidR="0077607C" w:rsidRDefault="0077607C" w:rsidP="002B7136">
            <w:pPr>
              <w:spacing w:after="160" w:line="278" w:lineRule="auto"/>
              <w:jc w:val="both"/>
              <w:rPr>
                <w:rFonts w:ascii="Arial" w:eastAsia="Arial" w:hAnsi="Arial" w:cs="Arial"/>
                <w:b/>
                <w:bCs/>
                <w:i/>
                <w:iCs/>
                <w:sz w:val="22"/>
                <w:szCs w:val="22"/>
              </w:rPr>
            </w:pPr>
            <w:r>
              <w:rPr>
                <w:rFonts w:ascii="Arial" w:eastAsia="Arial" w:hAnsi="Arial" w:cs="Arial"/>
                <w:b/>
                <w:bCs/>
                <w:i/>
                <w:iCs/>
                <w:sz w:val="22"/>
                <w:szCs w:val="22"/>
              </w:rPr>
              <w:t>Primary Danger</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52A67A" w14:textId="77777777" w:rsidR="0077607C" w:rsidRDefault="0077607C" w:rsidP="002B7136">
            <w:pPr>
              <w:spacing w:after="160" w:line="278" w:lineRule="auto"/>
              <w:jc w:val="both"/>
              <w:rPr>
                <w:rFonts w:ascii="Arial" w:eastAsia="Arial" w:hAnsi="Arial" w:cs="Arial"/>
                <w:i/>
                <w:iCs/>
                <w:sz w:val="22"/>
                <w:szCs w:val="22"/>
              </w:rPr>
            </w:pPr>
            <w:r>
              <w:rPr>
                <w:rFonts w:ascii="Arial" w:eastAsia="Arial" w:hAnsi="Arial" w:cs="Arial"/>
                <w:i/>
                <w:iCs/>
                <w:sz w:val="22"/>
                <w:szCs w:val="22"/>
              </w:rPr>
              <w:t>Delayed patching</w:t>
            </w:r>
          </w:p>
        </w:tc>
        <w:tc>
          <w:tcPr>
            <w:tcW w:w="36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C95CD5" w14:textId="77777777" w:rsidR="0077607C" w:rsidRDefault="0077607C" w:rsidP="002B7136">
            <w:pPr>
              <w:spacing w:after="160" w:line="278" w:lineRule="auto"/>
              <w:jc w:val="both"/>
              <w:rPr>
                <w:rFonts w:ascii="Arial" w:eastAsia="Arial" w:hAnsi="Arial" w:cs="Arial"/>
                <w:i/>
                <w:iCs/>
                <w:sz w:val="22"/>
                <w:szCs w:val="22"/>
              </w:rPr>
            </w:pPr>
            <w:r>
              <w:rPr>
                <w:rFonts w:ascii="Arial" w:eastAsia="Arial" w:hAnsi="Arial" w:cs="Arial"/>
                <w:i/>
                <w:iCs/>
                <w:sz w:val="22"/>
                <w:szCs w:val="22"/>
              </w:rPr>
              <w:t>Undetectable initial breach</w:t>
            </w:r>
          </w:p>
        </w:tc>
      </w:tr>
    </w:tbl>
    <w:p w14:paraId="036C2A47" w14:textId="77777777" w:rsidR="0077607C" w:rsidRDefault="0077607C" w:rsidP="0077607C">
      <w:pPr>
        <w:spacing w:after="160" w:line="278" w:lineRule="auto"/>
        <w:jc w:val="both"/>
        <w:rPr>
          <w:rFonts w:ascii="Arial" w:eastAsia="Arial" w:hAnsi="Arial" w:cs="Arial"/>
          <w:sz w:val="22"/>
          <w:szCs w:val="22"/>
        </w:rPr>
      </w:pPr>
    </w:p>
    <w:p w14:paraId="3E27F092" w14:textId="77777777" w:rsidR="00B57F87" w:rsidRDefault="00B57F87" w:rsidP="0077607C">
      <w:pPr>
        <w:spacing w:after="160" w:line="278" w:lineRule="auto"/>
        <w:jc w:val="both"/>
        <w:rPr>
          <w:rFonts w:ascii="Arial" w:eastAsia="Arial" w:hAnsi="Arial" w:cs="Arial"/>
          <w:sz w:val="22"/>
          <w:szCs w:val="22"/>
        </w:rPr>
      </w:pPr>
    </w:p>
    <w:p w14:paraId="7985F94D" w14:textId="77777777" w:rsidR="00B57F87" w:rsidRDefault="00B57F87" w:rsidP="0077607C">
      <w:pPr>
        <w:spacing w:after="160" w:line="278" w:lineRule="auto"/>
        <w:jc w:val="both"/>
        <w:rPr>
          <w:rFonts w:ascii="Arial" w:eastAsia="Arial" w:hAnsi="Arial" w:cs="Arial"/>
          <w:sz w:val="22"/>
          <w:szCs w:val="22"/>
        </w:rPr>
      </w:pPr>
    </w:p>
    <w:p w14:paraId="31347675" w14:textId="77777777" w:rsidR="00B57F87" w:rsidRDefault="00B57F87" w:rsidP="0077607C">
      <w:pPr>
        <w:spacing w:after="160" w:line="278" w:lineRule="auto"/>
        <w:jc w:val="both"/>
        <w:rPr>
          <w:rFonts w:ascii="Arial" w:eastAsia="Arial" w:hAnsi="Arial" w:cs="Arial"/>
          <w:sz w:val="22"/>
          <w:szCs w:val="22"/>
        </w:rPr>
      </w:pPr>
    </w:p>
    <w:p w14:paraId="5EC7A419" w14:textId="77777777" w:rsidR="00B57F87" w:rsidRDefault="00B57F87" w:rsidP="0077607C">
      <w:pPr>
        <w:spacing w:after="160" w:line="278" w:lineRule="auto"/>
        <w:jc w:val="both"/>
        <w:rPr>
          <w:rFonts w:ascii="Arial" w:eastAsia="Arial" w:hAnsi="Arial" w:cs="Arial"/>
          <w:sz w:val="22"/>
          <w:szCs w:val="22"/>
        </w:rPr>
      </w:pPr>
    </w:p>
    <w:p w14:paraId="11C64978" w14:textId="77777777" w:rsidR="00B57F87" w:rsidRDefault="00B57F87" w:rsidP="0077607C">
      <w:pPr>
        <w:spacing w:after="160" w:line="278" w:lineRule="auto"/>
        <w:jc w:val="both"/>
        <w:rPr>
          <w:rFonts w:ascii="Arial" w:eastAsia="Arial" w:hAnsi="Arial" w:cs="Arial"/>
          <w:sz w:val="22"/>
          <w:szCs w:val="22"/>
        </w:rPr>
      </w:pPr>
    </w:p>
    <w:p w14:paraId="54EE2F40" w14:textId="77777777" w:rsidR="00B57F87" w:rsidRDefault="00B57F87" w:rsidP="0077607C">
      <w:pPr>
        <w:spacing w:after="160" w:line="278" w:lineRule="auto"/>
        <w:jc w:val="both"/>
        <w:rPr>
          <w:rFonts w:ascii="Arial" w:eastAsia="Arial" w:hAnsi="Arial" w:cs="Arial"/>
          <w:sz w:val="22"/>
          <w:szCs w:val="22"/>
        </w:rPr>
      </w:pPr>
    </w:p>
    <w:p w14:paraId="612EA6F4" w14:textId="77777777" w:rsidR="00B57F87" w:rsidRDefault="00B57F87" w:rsidP="0077607C">
      <w:pPr>
        <w:spacing w:after="160" w:line="278" w:lineRule="auto"/>
        <w:jc w:val="both"/>
        <w:rPr>
          <w:rFonts w:ascii="Arial" w:eastAsia="Arial" w:hAnsi="Arial" w:cs="Arial"/>
          <w:sz w:val="22"/>
          <w:szCs w:val="22"/>
        </w:rPr>
      </w:pPr>
    </w:p>
    <w:p w14:paraId="679EA016" w14:textId="50978DFB" w:rsidR="0077607C" w:rsidRDefault="0077607C" w:rsidP="0077607C">
      <w:pPr>
        <w:spacing w:after="160" w:line="278" w:lineRule="auto"/>
        <w:jc w:val="both"/>
        <w:rPr>
          <w:rFonts w:ascii="Arial" w:eastAsia="Arial" w:hAnsi="Arial" w:cs="Arial"/>
          <w:b/>
          <w:bCs/>
          <w:color w:val="215E99"/>
          <w:sz w:val="22"/>
          <w:szCs w:val="22"/>
        </w:rPr>
      </w:pPr>
      <w:r>
        <w:rPr>
          <w:rFonts w:ascii="Arial" w:eastAsia="Arial" w:hAnsi="Arial" w:cs="Arial"/>
          <w:sz w:val="22"/>
          <w:szCs w:val="22"/>
        </w:rPr>
        <w:lastRenderedPageBreak/>
        <w:t>Fig</w:t>
      </w:r>
      <w:r w:rsidR="00B57F87">
        <w:rPr>
          <w:rFonts w:ascii="Arial" w:eastAsia="Arial" w:hAnsi="Arial" w:cs="Arial"/>
          <w:noProof/>
          <w:sz w:val="22"/>
          <w:szCs w:val="22"/>
        </w:rPr>
        <w:drawing>
          <wp:inline distT="0" distB="0" distL="0" distR="0" wp14:anchorId="2262ECAC" wp14:editId="481E3A61">
            <wp:extent cx="3298695" cy="3045539"/>
            <wp:effectExtent l="0" t="0" r="0" b="0"/>
            <wp:docPr id="6" name="image1.png" descr="NIST Drafts Major Update to Its Widely Used Cybersecurity Framework | NIST"/>
            <wp:cNvGraphicFramePr/>
            <a:graphic xmlns:a="http://schemas.openxmlformats.org/drawingml/2006/main">
              <a:graphicData uri="http://schemas.openxmlformats.org/drawingml/2006/picture">
                <pic:pic xmlns:pic="http://schemas.openxmlformats.org/drawingml/2006/picture">
                  <pic:nvPicPr>
                    <pic:cNvPr id="0" name="image1.png" descr="NIST Drafts Major Update to Its Widely Used Cybersecurity Framework | NIST"/>
                    <pic:cNvPicPr preferRelativeResize="0"/>
                  </pic:nvPicPr>
                  <pic:blipFill>
                    <a:blip r:embed="rId7"/>
                    <a:srcRect/>
                    <a:stretch>
                      <a:fillRect/>
                    </a:stretch>
                  </pic:blipFill>
                  <pic:spPr>
                    <a:xfrm>
                      <a:off x="0" y="0"/>
                      <a:ext cx="3298695" cy="3045539"/>
                    </a:xfrm>
                    <a:prstGeom prst="rect">
                      <a:avLst/>
                    </a:prstGeom>
                    <a:ln/>
                  </pic:spPr>
                </pic:pic>
              </a:graphicData>
            </a:graphic>
          </wp:inline>
        </w:drawing>
      </w:r>
      <w:r>
        <w:rPr>
          <w:rFonts w:ascii="Arial" w:eastAsia="Arial" w:hAnsi="Arial" w:cs="Arial"/>
          <w:sz w:val="22"/>
          <w:szCs w:val="22"/>
        </w:rPr>
        <w:t>.1</w:t>
      </w:r>
    </w:p>
    <w:p w14:paraId="4B7051F8" w14:textId="77777777" w:rsidR="0077607C" w:rsidRDefault="0077607C" w:rsidP="0077607C">
      <w:pPr>
        <w:spacing w:after="160" w:line="278" w:lineRule="auto"/>
        <w:jc w:val="both"/>
        <w:rPr>
          <w:rFonts w:ascii="Arial" w:eastAsia="Arial" w:hAnsi="Arial" w:cs="Arial"/>
          <w:b/>
          <w:bCs/>
          <w:color w:val="215E99"/>
          <w:sz w:val="22"/>
          <w:szCs w:val="22"/>
        </w:rPr>
      </w:pPr>
      <w:r>
        <w:rPr>
          <w:rFonts w:ascii="Arial" w:eastAsia="Arial" w:hAnsi="Arial" w:cs="Arial"/>
          <w:b/>
          <w:bCs/>
          <w:color w:val="215E99"/>
          <w:sz w:val="22"/>
          <w:szCs w:val="22"/>
        </w:rPr>
        <w:t>NIST Framework relation with Zero-Day Scenarios (Fig.2)</w:t>
      </w:r>
    </w:p>
    <w:p w14:paraId="2F05791A" w14:textId="77777777" w:rsidR="0077607C" w:rsidRDefault="0077607C" w:rsidP="0077607C">
      <w:pPr>
        <w:spacing w:after="160" w:line="278" w:lineRule="auto"/>
        <w:jc w:val="both"/>
        <w:rPr>
          <w:rFonts w:ascii="Arial" w:eastAsia="Arial" w:hAnsi="Arial" w:cs="Arial"/>
          <w:b/>
          <w:bCs/>
          <w:color w:val="215E99"/>
          <w:sz w:val="22"/>
          <w:szCs w:val="22"/>
        </w:rPr>
      </w:pPr>
    </w:p>
    <w:p w14:paraId="0003A467" w14:textId="77777777" w:rsidR="0077607C" w:rsidRDefault="0077607C" w:rsidP="0077607C">
      <w:pPr>
        <w:spacing w:after="160" w:line="278" w:lineRule="auto"/>
        <w:jc w:val="both"/>
        <w:rPr>
          <w:rFonts w:ascii="Arial" w:eastAsia="Arial" w:hAnsi="Arial" w:cs="Arial"/>
          <w:b/>
          <w:bCs/>
          <w:color w:val="215E99"/>
          <w:sz w:val="22"/>
          <w:szCs w:val="22"/>
        </w:rPr>
      </w:pPr>
      <w:r>
        <w:rPr>
          <w:rFonts w:ascii="Arial" w:eastAsia="Arial" w:hAnsi="Arial" w:cs="Arial"/>
          <w:b/>
          <w:bCs/>
          <w:noProof/>
          <w:color w:val="215E99"/>
          <w:sz w:val="22"/>
          <w:szCs w:val="22"/>
        </w:rPr>
        <w:drawing>
          <wp:inline distT="114300" distB="114300" distL="114300" distR="114300" wp14:anchorId="07BA8D46" wp14:editId="1ACA6EB4">
            <wp:extent cx="6400800" cy="3492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400800" cy="3492500"/>
                    </a:xfrm>
                    <a:prstGeom prst="rect">
                      <a:avLst/>
                    </a:prstGeom>
                    <a:ln/>
                  </pic:spPr>
                </pic:pic>
              </a:graphicData>
            </a:graphic>
          </wp:inline>
        </w:drawing>
      </w:r>
    </w:p>
    <w:p w14:paraId="26C6C19C" w14:textId="77777777" w:rsidR="0077607C" w:rsidRDefault="0077607C" w:rsidP="0077607C">
      <w:pPr>
        <w:spacing w:after="160" w:line="278" w:lineRule="auto"/>
        <w:jc w:val="both"/>
        <w:rPr>
          <w:rFonts w:ascii="Arial" w:eastAsia="Arial" w:hAnsi="Arial" w:cs="Arial"/>
          <w:b/>
          <w:bCs/>
          <w:color w:val="215E99"/>
          <w:sz w:val="22"/>
          <w:szCs w:val="22"/>
        </w:rPr>
      </w:pPr>
      <w:r>
        <w:rPr>
          <w:rFonts w:ascii="Arial" w:eastAsia="Arial" w:hAnsi="Arial" w:cs="Arial"/>
          <w:b/>
          <w:bCs/>
          <w:color w:val="215E99"/>
          <w:sz w:val="22"/>
          <w:szCs w:val="22"/>
        </w:rPr>
        <w:t>Fig.2</w:t>
      </w:r>
    </w:p>
    <w:p w14:paraId="31FE4E5F" w14:textId="77777777" w:rsidR="0077607C" w:rsidRDefault="0077607C" w:rsidP="0077607C">
      <w:pPr>
        <w:spacing w:after="160" w:line="278" w:lineRule="auto"/>
        <w:jc w:val="both"/>
        <w:rPr>
          <w:rFonts w:ascii="Arial" w:eastAsia="Arial" w:hAnsi="Arial" w:cs="Arial"/>
          <w:b/>
          <w:bCs/>
          <w:color w:val="215E99"/>
          <w:sz w:val="22"/>
          <w:szCs w:val="22"/>
        </w:rPr>
      </w:pPr>
      <w:r>
        <w:rPr>
          <w:rFonts w:ascii="Arial" w:eastAsia="Arial" w:hAnsi="Arial" w:cs="Arial"/>
          <w:b/>
          <w:bCs/>
          <w:color w:val="215E99"/>
          <w:sz w:val="22"/>
          <w:szCs w:val="22"/>
        </w:rPr>
        <w:t>GOVERNANCE PHASE</w:t>
      </w:r>
    </w:p>
    <w:p w14:paraId="04116BDE" w14:textId="77777777" w:rsidR="0077607C" w:rsidRDefault="0077607C" w:rsidP="0077607C">
      <w:pPr>
        <w:spacing w:after="160" w:line="278" w:lineRule="auto"/>
        <w:jc w:val="both"/>
        <w:rPr>
          <w:rFonts w:ascii="Arial" w:eastAsia="Arial" w:hAnsi="Arial" w:cs="Arial"/>
          <w:color w:val="0F9ED5"/>
          <w:sz w:val="22"/>
          <w:szCs w:val="22"/>
        </w:rPr>
      </w:pPr>
      <w:r>
        <w:rPr>
          <w:rFonts w:ascii="Arial" w:eastAsia="Arial" w:hAnsi="Arial" w:cs="Arial"/>
          <w:color w:val="0F9ED5"/>
          <w:sz w:val="22"/>
          <w:szCs w:val="22"/>
        </w:rPr>
        <w:t>Governance</w:t>
      </w:r>
    </w:p>
    <w:p w14:paraId="2B63DB36"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lastRenderedPageBreak/>
        <w:t>Under the NIST model, governance is defined as the establishment, communication, and monitoring of an organization’s cybersecurity risk management strategy, expectations, and policies. It is a core component of corporate governance, focused on risk governance and accountability.</w:t>
      </w:r>
    </w:p>
    <w:p w14:paraId="30DD6140" w14:textId="77777777" w:rsidR="0077607C" w:rsidRDefault="0077607C" w:rsidP="0077607C">
      <w:pPr>
        <w:spacing w:after="160" w:line="278" w:lineRule="auto"/>
        <w:jc w:val="both"/>
        <w:rPr>
          <w:rFonts w:ascii="Arial" w:eastAsia="Arial" w:hAnsi="Arial" w:cs="Arial"/>
          <w:sz w:val="22"/>
          <w:szCs w:val="22"/>
          <w:u w:val="single"/>
        </w:rPr>
      </w:pPr>
      <w:r>
        <w:rPr>
          <w:rFonts w:ascii="Arial" w:eastAsia="Arial" w:hAnsi="Arial" w:cs="Arial"/>
          <w:sz w:val="22"/>
          <w:szCs w:val="22"/>
        </w:rPr>
        <w:t xml:space="preserve">The Govern function serves as the "overarching" structure for the other five functions: </w:t>
      </w:r>
      <w:r>
        <w:rPr>
          <w:rFonts w:ascii="Arial" w:eastAsia="Arial" w:hAnsi="Arial" w:cs="Arial"/>
          <w:b/>
          <w:bCs/>
          <w:sz w:val="22"/>
          <w:szCs w:val="22"/>
        </w:rPr>
        <w:t>Identify, Protect, Detect, Respond, and Recover</w:t>
      </w:r>
      <w:r>
        <w:rPr>
          <w:rFonts w:ascii="Arial" w:eastAsia="Arial" w:hAnsi="Arial" w:cs="Arial"/>
          <w:sz w:val="22"/>
          <w:szCs w:val="22"/>
        </w:rPr>
        <w:t>. While these latter functions involve the actual technical and operational execution of security, the Govern function dictates the strategy and priorities for those actions.</w:t>
      </w:r>
    </w:p>
    <w:p w14:paraId="37E8A00A" w14:textId="77777777" w:rsidR="0077607C" w:rsidRDefault="0077607C" w:rsidP="0077607C">
      <w:pPr>
        <w:spacing w:after="160" w:line="278" w:lineRule="auto"/>
        <w:jc w:val="both"/>
        <w:rPr>
          <w:rFonts w:ascii="Arial" w:eastAsia="Arial" w:hAnsi="Arial" w:cs="Arial"/>
          <w:b/>
          <w:bCs/>
          <w:sz w:val="22"/>
          <w:szCs w:val="22"/>
        </w:rPr>
      </w:pPr>
    </w:p>
    <w:p w14:paraId="72508246"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Implementation Tiers</w:t>
      </w:r>
    </w:p>
    <w:p w14:paraId="15A2A979"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 xml:space="preserve">To help organizations measure their governance maturity, NIST utilizes </w:t>
      </w:r>
      <w:r>
        <w:rPr>
          <w:rFonts w:ascii="Arial" w:eastAsia="Arial" w:hAnsi="Arial" w:cs="Arial"/>
          <w:b/>
          <w:bCs/>
          <w:sz w:val="22"/>
          <w:szCs w:val="22"/>
        </w:rPr>
        <w:t>Implementation Tiers</w:t>
      </w:r>
      <w:r>
        <w:rPr>
          <w:rFonts w:ascii="Arial" w:eastAsia="Arial" w:hAnsi="Arial" w:cs="Arial"/>
          <w:sz w:val="22"/>
          <w:szCs w:val="22"/>
        </w:rPr>
        <w:t xml:space="preserve"> (ranging from Tier 1, "Partial," to Tier 4, "Adaptive"): </w:t>
      </w:r>
    </w:p>
    <w:p w14:paraId="1C4C4BF8" w14:textId="77777777" w:rsidR="0077607C" w:rsidRDefault="0077607C" w:rsidP="0077607C">
      <w:pPr>
        <w:numPr>
          <w:ilvl w:val="0"/>
          <w:numId w:val="2"/>
        </w:numPr>
        <w:spacing w:after="160" w:line="278" w:lineRule="auto"/>
        <w:jc w:val="both"/>
        <w:rPr>
          <w:rFonts w:ascii="Noto Sans Symbols" w:eastAsia="Noto Sans Symbols" w:hAnsi="Noto Sans Symbols" w:cs="Noto Sans Symbols"/>
          <w:sz w:val="22"/>
          <w:szCs w:val="22"/>
        </w:rPr>
      </w:pPr>
      <w:r>
        <w:rPr>
          <w:rFonts w:ascii="Arial" w:eastAsia="Arial" w:hAnsi="Arial" w:cs="Arial"/>
          <w:b/>
          <w:bCs/>
          <w:sz w:val="22"/>
          <w:szCs w:val="22"/>
        </w:rPr>
        <w:t>Tier 1 (Partial):</w:t>
      </w:r>
      <w:r>
        <w:rPr>
          <w:rFonts w:ascii="Arial" w:eastAsia="Arial" w:hAnsi="Arial" w:cs="Arial"/>
          <w:sz w:val="22"/>
          <w:szCs w:val="22"/>
        </w:rPr>
        <w:t xml:space="preserve"> Governance is informal or non-existent; cybersecurity activities are reactive.</w:t>
      </w:r>
    </w:p>
    <w:p w14:paraId="360B27BC" w14:textId="77777777" w:rsidR="0077607C" w:rsidRDefault="0077607C" w:rsidP="0077607C">
      <w:pPr>
        <w:numPr>
          <w:ilvl w:val="0"/>
          <w:numId w:val="2"/>
        </w:numPr>
        <w:spacing w:after="160" w:line="278" w:lineRule="auto"/>
        <w:jc w:val="both"/>
        <w:rPr>
          <w:rFonts w:ascii="Noto Sans Symbols" w:eastAsia="Noto Sans Symbols" w:hAnsi="Noto Sans Symbols" w:cs="Noto Sans Symbols"/>
          <w:sz w:val="22"/>
          <w:szCs w:val="22"/>
        </w:rPr>
      </w:pPr>
      <w:r>
        <w:rPr>
          <w:rFonts w:ascii="Arial" w:eastAsia="Arial" w:hAnsi="Arial" w:cs="Arial"/>
          <w:b/>
          <w:bCs/>
          <w:sz w:val="22"/>
          <w:szCs w:val="22"/>
        </w:rPr>
        <w:t>Tier 2 (Risk Informed):</w:t>
      </w:r>
      <w:r>
        <w:rPr>
          <w:rFonts w:ascii="Arial" w:eastAsia="Arial" w:hAnsi="Arial" w:cs="Arial"/>
          <w:sz w:val="22"/>
          <w:szCs w:val="22"/>
        </w:rPr>
        <w:t xml:space="preserve"> There is increased awareness, but governance is not yet consistent or </w:t>
      </w:r>
      <w:proofErr w:type="gramStart"/>
      <w:r>
        <w:rPr>
          <w:rFonts w:ascii="Arial" w:eastAsia="Arial" w:hAnsi="Arial" w:cs="Arial"/>
          <w:sz w:val="22"/>
          <w:szCs w:val="22"/>
        </w:rPr>
        <w:t>organization-wide</w:t>
      </w:r>
      <w:proofErr w:type="gramEnd"/>
      <w:r>
        <w:rPr>
          <w:rFonts w:ascii="Arial" w:eastAsia="Arial" w:hAnsi="Arial" w:cs="Arial"/>
          <w:sz w:val="22"/>
          <w:szCs w:val="22"/>
        </w:rPr>
        <w:t>.</w:t>
      </w:r>
    </w:p>
    <w:p w14:paraId="65002B70" w14:textId="77777777" w:rsidR="0077607C" w:rsidRDefault="0077607C" w:rsidP="0077607C">
      <w:pPr>
        <w:numPr>
          <w:ilvl w:val="0"/>
          <w:numId w:val="2"/>
        </w:numPr>
        <w:spacing w:after="160" w:line="278" w:lineRule="auto"/>
        <w:jc w:val="both"/>
        <w:rPr>
          <w:rFonts w:ascii="Noto Sans Symbols" w:eastAsia="Noto Sans Symbols" w:hAnsi="Noto Sans Symbols" w:cs="Noto Sans Symbols"/>
          <w:sz w:val="22"/>
          <w:szCs w:val="22"/>
        </w:rPr>
      </w:pPr>
      <w:r>
        <w:rPr>
          <w:rFonts w:ascii="Arial" w:eastAsia="Arial" w:hAnsi="Arial" w:cs="Arial"/>
          <w:b/>
          <w:bCs/>
          <w:sz w:val="22"/>
          <w:szCs w:val="22"/>
        </w:rPr>
        <w:t>Tier 3 (Repeatable):</w:t>
      </w:r>
      <w:r>
        <w:rPr>
          <w:rFonts w:ascii="Arial" w:eastAsia="Arial" w:hAnsi="Arial" w:cs="Arial"/>
          <w:sz w:val="22"/>
          <w:szCs w:val="22"/>
        </w:rPr>
        <w:t xml:space="preserve"> Governance is formalized, and management has implemented an organization-wide, repeatable risk management process. </w:t>
      </w:r>
    </w:p>
    <w:p w14:paraId="528F6737" w14:textId="77777777" w:rsidR="0077607C" w:rsidRDefault="0077607C" w:rsidP="0077607C">
      <w:pPr>
        <w:numPr>
          <w:ilvl w:val="0"/>
          <w:numId w:val="2"/>
        </w:numPr>
        <w:spacing w:after="160" w:line="278" w:lineRule="auto"/>
        <w:jc w:val="both"/>
        <w:rPr>
          <w:rFonts w:ascii="Noto Sans Symbols" w:eastAsia="Noto Sans Symbols" w:hAnsi="Noto Sans Symbols" w:cs="Noto Sans Symbols"/>
          <w:sz w:val="22"/>
          <w:szCs w:val="22"/>
        </w:rPr>
      </w:pPr>
      <w:r>
        <w:rPr>
          <w:rFonts w:ascii="Arial" w:eastAsia="Arial" w:hAnsi="Arial" w:cs="Arial"/>
          <w:b/>
          <w:bCs/>
          <w:sz w:val="22"/>
          <w:szCs w:val="22"/>
        </w:rPr>
        <w:t>Tier 4 (Adaptive):</w:t>
      </w:r>
      <w:r>
        <w:rPr>
          <w:rFonts w:ascii="Arial" w:eastAsia="Arial" w:hAnsi="Arial" w:cs="Arial"/>
          <w:sz w:val="22"/>
          <w:szCs w:val="22"/>
        </w:rPr>
        <w:t xml:space="preserve"> Cybersecurity is fully integrated into organizational culture and business strategy. Governance is data-driven, predictive, and constantly evolving to address new threats.</w:t>
      </w:r>
    </w:p>
    <w:p w14:paraId="627788AA" w14:textId="77777777" w:rsidR="0077607C" w:rsidRDefault="0077607C" w:rsidP="0077607C">
      <w:pPr>
        <w:spacing w:after="160" w:line="278" w:lineRule="auto"/>
        <w:jc w:val="both"/>
        <w:rPr>
          <w:rFonts w:ascii="Arial" w:eastAsia="Arial" w:hAnsi="Arial" w:cs="Arial"/>
          <w:b/>
          <w:bCs/>
          <w:color w:val="196B24"/>
          <w:sz w:val="22"/>
          <w:szCs w:val="22"/>
        </w:rPr>
      </w:pPr>
      <w:r>
        <w:rPr>
          <w:rFonts w:ascii="Arial" w:eastAsia="Arial" w:hAnsi="Arial" w:cs="Arial"/>
          <w:b/>
          <w:bCs/>
          <w:color w:val="196B24"/>
          <w:sz w:val="22"/>
          <w:szCs w:val="22"/>
        </w:rPr>
        <w:t>General Concepts and Preparation Strategies</w:t>
      </w:r>
    </w:p>
    <w:p w14:paraId="1EC2B9E0" w14:textId="77777777" w:rsidR="0077607C" w:rsidRDefault="0077607C" w:rsidP="0077607C">
      <w:pPr>
        <w:numPr>
          <w:ilvl w:val="0"/>
          <w:numId w:val="1"/>
        </w:numPr>
        <w:spacing w:after="160" w:line="278" w:lineRule="auto"/>
        <w:jc w:val="both"/>
        <w:rPr>
          <w:rFonts w:ascii="Arial" w:eastAsia="Arial" w:hAnsi="Arial" w:cs="Arial"/>
          <w:sz w:val="22"/>
          <w:szCs w:val="22"/>
        </w:rPr>
      </w:pPr>
      <w:r>
        <w:rPr>
          <w:rFonts w:ascii="Arial" w:eastAsia="Arial" w:hAnsi="Arial" w:cs="Arial"/>
          <w:sz w:val="22"/>
          <w:szCs w:val="22"/>
        </w:rPr>
        <w:t xml:space="preserve">NIST Incident Response Preparation: Detailed guidance on the importance of the preparation phase, including asset inventory and communication planning. </w:t>
      </w:r>
      <w:hyperlink r:id="rId9">
        <w:r>
          <w:rPr>
            <w:rFonts w:ascii="Arial" w:eastAsia="Arial" w:hAnsi="Arial" w:cs="Arial"/>
            <w:color w:val="467886"/>
            <w:sz w:val="22"/>
            <w:szCs w:val="22"/>
            <w:u w:val="single"/>
          </w:rPr>
          <w:t>l</w:t>
        </w:r>
      </w:hyperlink>
    </w:p>
    <w:p w14:paraId="2F61913B" w14:textId="77777777" w:rsidR="0077607C" w:rsidRDefault="0077607C" w:rsidP="0077607C">
      <w:pPr>
        <w:numPr>
          <w:ilvl w:val="0"/>
          <w:numId w:val="1"/>
        </w:numPr>
        <w:spacing w:after="160" w:line="278" w:lineRule="auto"/>
        <w:jc w:val="both"/>
        <w:rPr>
          <w:rFonts w:ascii="Arial" w:eastAsia="Arial" w:hAnsi="Arial" w:cs="Arial"/>
          <w:sz w:val="22"/>
          <w:szCs w:val="22"/>
        </w:rPr>
      </w:pPr>
      <w:r>
        <w:rPr>
          <w:rFonts w:ascii="Arial" w:eastAsia="Arial" w:hAnsi="Arial" w:cs="Arial"/>
          <w:sz w:val="22"/>
          <w:szCs w:val="22"/>
        </w:rPr>
        <w:t xml:space="preserve">Zero-Day Lifecycle and </w:t>
      </w:r>
      <w:proofErr w:type="spellStart"/>
      <w:r>
        <w:rPr>
          <w:rFonts w:ascii="Arial" w:eastAsia="Arial" w:hAnsi="Arial" w:cs="Arial"/>
          <w:sz w:val="22"/>
          <w:szCs w:val="22"/>
        </w:rPr>
        <w:t>Defence</w:t>
      </w:r>
      <w:proofErr w:type="spellEnd"/>
      <w:r>
        <w:rPr>
          <w:rFonts w:ascii="Arial" w:eastAsia="Arial" w:hAnsi="Arial" w:cs="Arial"/>
          <w:sz w:val="22"/>
          <w:szCs w:val="22"/>
        </w:rPr>
        <w:t xml:space="preserve">-in-Depth: An overview of how </w:t>
      </w:r>
      <w:proofErr w:type="spellStart"/>
      <w:r>
        <w:rPr>
          <w:rFonts w:ascii="Arial" w:eastAsia="Arial" w:hAnsi="Arial" w:cs="Arial"/>
          <w:sz w:val="22"/>
          <w:szCs w:val="22"/>
        </w:rPr>
        <w:t>behavioural</w:t>
      </w:r>
      <w:proofErr w:type="spellEnd"/>
      <w:r>
        <w:rPr>
          <w:rFonts w:ascii="Arial" w:eastAsia="Arial" w:hAnsi="Arial" w:cs="Arial"/>
          <w:sz w:val="22"/>
          <w:szCs w:val="22"/>
        </w:rPr>
        <w:t xml:space="preserve"> detection and layered security mitigate unknown threats. </w:t>
      </w:r>
    </w:p>
    <w:p w14:paraId="4D0D4984" w14:textId="77777777" w:rsidR="0077607C" w:rsidRDefault="0077607C" w:rsidP="0077607C">
      <w:pPr>
        <w:numPr>
          <w:ilvl w:val="0"/>
          <w:numId w:val="1"/>
        </w:numPr>
        <w:spacing w:after="160" w:line="278" w:lineRule="auto"/>
        <w:jc w:val="both"/>
        <w:rPr>
          <w:rFonts w:ascii="Arial" w:eastAsia="Arial" w:hAnsi="Arial" w:cs="Arial"/>
          <w:sz w:val="22"/>
          <w:szCs w:val="22"/>
        </w:rPr>
      </w:pPr>
      <w:r>
        <w:rPr>
          <w:rFonts w:ascii="Arial" w:eastAsia="Arial" w:hAnsi="Arial" w:cs="Arial"/>
          <w:sz w:val="22"/>
          <w:szCs w:val="22"/>
        </w:rPr>
        <w:t xml:space="preserve">Zero-Trust Architecture: Modern security frameworks that focus on continuous verification to limit the movement of attackers. </w:t>
      </w:r>
    </w:p>
    <w:p w14:paraId="11CA38EE" w14:textId="77777777" w:rsidR="0077607C" w:rsidRDefault="0077607C" w:rsidP="0077607C">
      <w:pPr>
        <w:numPr>
          <w:ilvl w:val="0"/>
          <w:numId w:val="1"/>
        </w:numPr>
        <w:spacing w:after="160" w:line="278" w:lineRule="auto"/>
        <w:jc w:val="both"/>
        <w:rPr>
          <w:rFonts w:ascii="Arial" w:eastAsia="Arial" w:hAnsi="Arial" w:cs="Arial"/>
          <w:sz w:val="22"/>
          <w:szCs w:val="22"/>
        </w:rPr>
      </w:pPr>
      <w:r>
        <w:rPr>
          <w:rFonts w:ascii="Arial" w:eastAsia="Arial" w:hAnsi="Arial" w:cs="Arial"/>
          <w:sz w:val="22"/>
          <w:szCs w:val="22"/>
        </w:rPr>
        <w:t>Incident Response Planning: Practical steps for developing a response plan that accounts for unpatched vulnerabilities</w:t>
      </w:r>
    </w:p>
    <w:p w14:paraId="15F6AC20"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 xml:space="preserve">The preparation phase is often considered the most critical stage of incident response when dealing with zero-days scenarios. Because vulnerabilities in these scenarios are unknown and there are no available patches, the preparation phase focuses on building a resilient environment that can detect unusual </w:t>
      </w:r>
      <w:proofErr w:type="spellStart"/>
      <w:r>
        <w:rPr>
          <w:rFonts w:ascii="Arial" w:eastAsia="Arial" w:hAnsi="Arial" w:cs="Arial"/>
          <w:sz w:val="22"/>
          <w:szCs w:val="22"/>
        </w:rPr>
        <w:t>behaviour</w:t>
      </w:r>
      <w:proofErr w:type="spellEnd"/>
      <w:r>
        <w:rPr>
          <w:rFonts w:ascii="Arial" w:eastAsia="Arial" w:hAnsi="Arial" w:cs="Arial"/>
          <w:sz w:val="22"/>
          <w:szCs w:val="22"/>
        </w:rPr>
        <w:t xml:space="preserve"> and contain an attack even when the specific threat is unknown. Preparation is not about stopping a threat but to build a “house” that can survive a break-in</w:t>
      </w:r>
      <w:r>
        <w:rPr>
          <w:rFonts w:ascii="Arial" w:eastAsia="Arial" w:hAnsi="Arial" w:cs="Arial"/>
          <w:sz w:val="22"/>
          <w:szCs w:val="22"/>
          <w:u w:val="single"/>
        </w:rPr>
        <w:t xml:space="preserve"> </w:t>
      </w:r>
      <w:r>
        <w:rPr>
          <w:rFonts w:ascii="Arial" w:eastAsia="Arial" w:hAnsi="Arial" w:cs="Arial"/>
          <w:sz w:val="22"/>
          <w:szCs w:val="22"/>
        </w:rPr>
        <w:t>through a hidden door.  It involves establishing the people, processes, and tools necessary to handle an emergency before it happens.</w:t>
      </w:r>
    </w:p>
    <w:p w14:paraId="3335FACD" w14:textId="77777777" w:rsidR="0077607C" w:rsidRDefault="0077607C" w:rsidP="0077607C">
      <w:pPr>
        <w:spacing w:after="160" w:line="278" w:lineRule="auto"/>
        <w:jc w:val="both"/>
        <w:rPr>
          <w:rFonts w:ascii="Arial" w:eastAsia="Arial" w:hAnsi="Arial" w:cs="Arial"/>
          <w:b/>
          <w:bCs/>
          <w:color w:val="196B24"/>
          <w:sz w:val="22"/>
          <w:szCs w:val="22"/>
        </w:rPr>
      </w:pPr>
      <w:r>
        <w:rPr>
          <w:rFonts w:ascii="Arial" w:eastAsia="Arial" w:hAnsi="Arial" w:cs="Arial"/>
          <w:b/>
          <w:bCs/>
          <w:color w:val="196B24"/>
          <w:sz w:val="22"/>
          <w:szCs w:val="22"/>
        </w:rPr>
        <w:t>Preparation Strategies</w:t>
      </w:r>
    </w:p>
    <w:p w14:paraId="38E366A3" w14:textId="77777777" w:rsidR="0077607C" w:rsidRDefault="0077607C" w:rsidP="0077607C">
      <w:pPr>
        <w:spacing w:after="160" w:line="278" w:lineRule="auto"/>
        <w:jc w:val="both"/>
        <w:rPr>
          <w:rFonts w:ascii="Arial" w:eastAsia="Arial" w:hAnsi="Arial" w:cs="Arial"/>
          <w:b/>
          <w:bCs/>
          <w:color w:val="196B24"/>
          <w:sz w:val="22"/>
          <w:szCs w:val="22"/>
        </w:rPr>
      </w:pPr>
      <w:r>
        <w:rPr>
          <w:rFonts w:ascii="Arial" w:eastAsia="Arial" w:hAnsi="Arial" w:cs="Arial"/>
          <w:b/>
          <w:bCs/>
          <w:color w:val="196B24"/>
          <w:sz w:val="22"/>
          <w:szCs w:val="22"/>
        </w:rPr>
        <w:t xml:space="preserve">Establish Governance &amp; Risk Management </w:t>
      </w:r>
    </w:p>
    <w:p w14:paraId="06E53EBB"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The Six Categories of the "Govern" Function</w:t>
      </w:r>
    </w:p>
    <w:p w14:paraId="23A4324D"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lastRenderedPageBreak/>
        <w:t xml:space="preserve">NIST CSF 2.0 organizes the Govern function into six distinct categories that provide a roadmap for leadership: </w:t>
      </w:r>
      <w:r>
        <w:rPr>
          <w:noProof/>
        </w:rPr>
        <w:drawing>
          <wp:anchor distT="0" distB="0" distL="114300" distR="114300" simplePos="0" relativeHeight="251659264" behindDoc="0" locked="0" layoutInCell="1" hidden="0" allowOverlap="1" wp14:anchorId="6305B2AD" wp14:editId="6CA47508">
            <wp:simplePos x="0" y="0"/>
            <wp:positionH relativeFrom="column">
              <wp:posOffset>-94614</wp:posOffset>
            </wp:positionH>
            <wp:positionV relativeFrom="paragraph">
              <wp:posOffset>535940</wp:posOffset>
            </wp:positionV>
            <wp:extent cx="6329363" cy="3114675"/>
            <wp:effectExtent l="0" t="0" r="0" b="0"/>
            <wp:wrapSquare wrapText="bothSides" distT="0" distB="0" distL="114300" distR="114300"/>
            <wp:docPr id="3" name="image2.png" descr="A chart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chart with text on it&#10;&#10;AI-generated content may be incorrect."/>
                    <pic:cNvPicPr preferRelativeResize="0"/>
                  </pic:nvPicPr>
                  <pic:blipFill>
                    <a:blip r:embed="rId10"/>
                    <a:srcRect/>
                    <a:stretch>
                      <a:fillRect/>
                    </a:stretch>
                  </pic:blipFill>
                  <pic:spPr>
                    <a:xfrm>
                      <a:off x="0" y="0"/>
                      <a:ext cx="6329363" cy="3114675"/>
                    </a:xfrm>
                    <a:prstGeom prst="rect">
                      <a:avLst/>
                    </a:prstGeom>
                    <a:ln/>
                  </pic:spPr>
                </pic:pic>
              </a:graphicData>
            </a:graphic>
          </wp:anchor>
        </w:drawing>
      </w:r>
    </w:p>
    <w:p w14:paraId="6D2A6772" w14:textId="77777777" w:rsidR="0077607C" w:rsidRDefault="0077607C" w:rsidP="0077607C">
      <w:pPr>
        <w:spacing w:after="160" w:line="278" w:lineRule="auto"/>
        <w:jc w:val="both"/>
        <w:rPr>
          <w:rFonts w:ascii="Arial" w:eastAsia="Arial" w:hAnsi="Arial" w:cs="Arial"/>
          <w:sz w:val="22"/>
          <w:szCs w:val="22"/>
        </w:rPr>
      </w:pPr>
    </w:p>
    <w:p w14:paraId="0ECF7874" w14:textId="77777777" w:rsidR="0077607C" w:rsidRDefault="0077607C" w:rsidP="0077607C">
      <w:pPr>
        <w:numPr>
          <w:ilvl w:val="0"/>
          <w:numId w:val="5"/>
        </w:numPr>
        <w:spacing w:after="160" w:line="278" w:lineRule="auto"/>
        <w:jc w:val="both"/>
        <w:rPr>
          <w:rFonts w:ascii="Aptos" w:eastAsia="Aptos" w:hAnsi="Aptos" w:cs="Aptos"/>
          <w:sz w:val="22"/>
          <w:szCs w:val="22"/>
        </w:rPr>
      </w:pPr>
      <w:r>
        <w:rPr>
          <w:rFonts w:ascii="Arial" w:eastAsia="Arial" w:hAnsi="Arial" w:cs="Arial"/>
          <w:b/>
          <w:bCs/>
          <w:sz w:val="22"/>
          <w:szCs w:val="22"/>
        </w:rPr>
        <w:t>Organizational Context (</w:t>
      </w:r>
      <w:proofErr w:type="gramStart"/>
      <w:r>
        <w:rPr>
          <w:rFonts w:ascii="Arial" w:eastAsia="Arial" w:hAnsi="Arial" w:cs="Arial"/>
          <w:b/>
          <w:bCs/>
          <w:sz w:val="22"/>
          <w:szCs w:val="22"/>
        </w:rPr>
        <w:t>GV.OC</w:t>
      </w:r>
      <w:proofErr w:type="gramEnd"/>
      <w:r>
        <w:rPr>
          <w:rFonts w:ascii="Arial" w:eastAsia="Arial" w:hAnsi="Arial" w:cs="Arial"/>
          <w:b/>
          <w:bCs/>
          <w:sz w:val="22"/>
          <w:szCs w:val="22"/>
        </w:rPr>
        <w:t>):</w:t>
      </w:r>
      <w:r>
        <w:rPr>
          <w:rFonts w:ascii="Arial" w:eastAsia="Arial" w:hAnsi="Arial" w:cs="Arial"/>
          <w:sz w:val="22"/>
          <w:szCs w:val="22"/>
        </w:rPr>
        <w:t xml:space="preserve"> Organizations must understand the circumstances, including mission, stakeholder expectations, and legal/regulatory requirements, that influence cybersecurity risk decisions. </w:t>
      </w:r>
    </w:p>
    <w:p w14:paraId="484CAD2B" w14:textId="77777777" w:rsidR="0077607C" w:rsidRDefault="0077607C" w:rsidP="0077607C">
      <w:pPr>
        <w:spacing w:after="160" w:line="278" w:lineRule="auto"/>
        <w:jc w:val="both"/>
        <w:rPr>
          <w:rFonts w:ascii="Arial" w:eastAsia="Arial" w:hAnsi="Arial" w:cs="Arial"/>
          <w:b/>
          <w:bCs/>
          <w:color w:val="FFC000"/>
          <w:sz w:val="22"/>
          <w:szCs w:val="22"/>
        </w:rPr>
      </w:pPr>
      <w:r>
        <w:rPr>
          <w:rFonts w:ascii="Arial" w:eastAsia="Arial" w:hAnsi="Arial" w:cs="Arial"/>
          <w:b/>
          <w:bCs/>
          <w:color w:val="FFC000"/>
          <w:sz w:val="22"/>
          <w:szCs w:val="22"/>
        </w:rPr>
        <w:t xml:space="preserve">           Key Components of </w:t>
      </w:r>
      <w:proofErr w:type="gramStart"/>
      <w:r>
        <w:rPr>
          <w:rFonts w:ascii="Arial" w:eastAsia="Arial" w:hAnsi="Arial" w:cs="Arial"/>
          <w:b/>
          <w:bCs/>
          <w:color w:val="FFC000"/>
          <w:sz w:val="22"/>
          <w:szCs w:val="22"/>
        </w:rPr>
        <w:t>GV.OC</w:t>
      </w:r>
      <w:proofErr w:type="gramEnd"/>
    </w:p>
    <w:p w14:paraId="409C18D9"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t>The category comprises five subcategories (</w:t>
      </w:r>
      <w:proofErr w:type="gramStart"/>
      <w:r>
        <w:rPr>
          <w:rFonts w:ascii="Arial" w:eastAsia="Arial" w:hAnsi="Arial" w:cs="Arial"/>
          <w:sz w:val="22"/>
          <w:szCs w:val="22"/>
        </w:rPr>
        <w:t>GV.OC</w:t>
      </w:r>
      <w:proofErr w:type="gramEnd"/>
      <w:r>
        <w:rPr>
          <w:rFonts w:ascii="Arial" w:eastAsia="Arial" w:hAnsi="Arial" w:cs="Arial"/>
          <w:sz w:val="22"/>
          <w:szCs w:val="22"/>
        </w:rPr>
        <w:t xml:space="preserve">-01 through </w:t>
      </w:r>
      <w:proofErr w:type="gramStart"/>
      <w:r>
        <w:rPr>
          <w:rFonts w:ascii="Arial" w:eastAsia="Arial" w:hAnsi="Arial" w:cs="Arial"/>
          <w:sz w:val="22"/>
          <w:szCs w:val="22"/>
        </w:rPr>
        <w:t>GV.OC</w:t>
      </w:r>
      <w:proofErr w:type="gramEnd"/>
      <w:r>
        <w:rPr>
          <w:rFonts w:ascii="Arial" w:eastAsia="Arial" w:hAnsi="Arial" w:cs="Arial"/>
          <w:sz w:val="22"/>
          <w:szCs w:val="22"/>
        </w:rPr>
        <w:t xml:space="preserve">-05) that guide an organization to: </w:t>
      </w:r>
    </w:p>
    <w:p w14:paraId="3F720896" w14:textId="77777777" w:rsidR="0077607C" w:rsidRDefault="0077607C" w:rsidP="0077607C">
      <w:pPr>
        <w:numPr>
          <w:ilvl w:val="0"/>
          <w:numId w:val="11"/>
        </w:numPr>
        <w:spacing w:after="160" w:line="278" w:lineRule="auto"/>
        <w:jc w:val="both"/>
        <w:rPr>
          <w:rFonts w:ascii="Noto Sans Symbols" w:eastAsia="Noto Sans Symbols" w:hAnsi="Noto Sans Symbols" w:cs="Noto Sans Symbols"/>
          <w:sz w:val="22"/>
          <w:szCs w:val="22"/>
        </w:rPr>
      </w:pPr>
      <w:r>
        <w:rPr>
          <w:rFonts w:ascii="Arial" w:eastAsia="Arial" w:hAnsi="Arial" w:cs="Arial"/>
          <w:b/>
          <w:bCs/>
          <w:color w:val="A02B93"/>
          <w:sz w:val="22"/>
          <w:szCs w:val="22"/>
        </w:rPr>
        <w:t>Understand Mission Alignment</w:t>
      </w:r>
      <w:r>
        <w:rPr>
          <w:rFonts w:ascii="Arial" w:eastAsia="Arial" w:hAnsi="Arial" w:cs="Arial"/>
          <w:b/>
          <w:bCs/>
          <w:sz w:val="22"/>
          <w:szCs w:val="22"/>
        </w:rPr>
        <w:t>:</w:t>
      </w:r>
      <w:r>
        <w:rPr>
          <w:rFonts w:ascii="Arial" w:eastAsia="Arial" w:hAnsi="Arial" w:cs="Arial"/>
          <w:sz w:val="22"/>
          <w:szCs w:val="22"/>
        </w:rPr>
        <w:t xml:space="preserve"> Recognize the organizational mission and ensure it informs cybersecurity risk management decisions. </w:t>
      </w:r>
    </w:p>
    <w:p w14:paraId="14C02E79" w14:textId="77777777" w:rsidR="0077607C" w:rsidRDefault="0077607C" w:rsidP="0077607C">
      <w:pPr>
        <w:numPr>
          <w:ilvl w:val="0"/>
          <w:numId w:val="11"/>
        </w:numPr>
        <w:spacing w:after="160" w:line="278" w:lineRule="auto"/>
        <w:jc w:val="both"/>
        <w:rPr>
          <w:rFonts w:ascii="Noto Sans Symbols" w:eastAsia="Noto Sans Symbols" w:hAnsi="Noto Sans Symbols" w:cs="Noto Sans Symbols"/>
          <w:sz w:val="22"/>
          <w:szCs w:val="22"/>
        </w:rPr>
      </w:pPr>
      <w:r>
        <w:rPr>
          <w:rFonts w:ascii="Arial" w:eastAsia="Arial" w:hAnsi="Arial" w:cs="Arial"/>
          <w:b/>
          <w:bCs/>
          <w:color w:val="A02B93"/>
          <w:sz w:val="22"/>
          <w:szCs w:val="22"/>
        </w:rPr>
        <w:t>Identify Stakeholders</w:t>
      </w:r>
      <w:r>
        <w:rPr>
          <w:rFonts w:ascii="Arial" w:eastAsia="Arial" w:hAnsi="Arial" w:cs="Arial"/>
          <w:b/>
          <w:bCs/>
          <w:sz w:val="22"/>
          <w:szCs w:val="22"/>
        </w:rPr>
        <w:t>:</w:t>
      </w:r>
      <w:r>
        <w:rPr>
          <w:rFonts w:ascii="Arial" w:eastAsia="Arial" w:hAnsi="Arial" w:cs="Arial"/>
          <w:sz w:val="22"/>
          <w:szCs w:val="22"/>
        </w:rPr>
        <w:t xml:space="preserve"> Determine internal and external stakeholders and understand their specific needs and expectations regarding cybersecurity. </w:t>
      </w:r>
    </w:p>
    <w:p w14:paraId="2BC3927A" w14:textId="77777777" w:rsidR="0077607C" w:rsidRDefault="0077607C" w:rsidP="0077607C">
      <w:pPr>
        <w:numPr>
          <w:ilvl w:val="0"/>
          <w:numId w:val="11"/>
        </w:numPr>
        <w:spacing w:after="160" w:line="278" w:lineRule="auto"/>
        <w:jc w:val="both"/>
        <w:rPr>
          <w:rFonts w:ascii="Noto Sans Symbols" w:eastAsia="Noto Sans Symbols" w:hAnsi="Noto Sans Symbols" w:cs="Noto Sans Symbols"/>
          <w:sz w:val="22"/>
          <w:szCs w:val="22"/>
        </w:rPr>
      </w:pPr>
      <w:r>
        <w:rPr>
          <w:rFonts w:ascii="Arial" w:eastAsia="Arial" w:hAnsi="Arial" w:cs="Arial"/>
          <w:b/>
          <w:bCs/>
          <w:color w:val="A02B93"/>
          <w:sz w:val="22"/>
          <w:szCs w:val="22"/>
        </w:rPr>
        <w:t>Acknowledge Obligations</w:t>
      </w:r>
      <w:r>
        <w:rPr>
          <w:rFonts w:ascii="Arial" w:eastAsia="Arial" w:hAnsi="Arial" w:cs="Arial"/>
          <w:b/>
          <w:bCs/>
          <w:sz w:val="22"/>
          <w:szCs w:val="22"/>
        </w:rPr>
        <w:t>:</w:t>
      </w:r>
      <w:r>
        <w:rPr>
          <w:rFonts w:ascii="Arial" w:eastAsia="Arial" w:hAnsi="Arial" w:cs="Arial"/>
          <w:sz w:val="22"/>
          <w:szCs w:val="22"/>
        </w:rPr>
        <w:t xml:space="preserve"> Identify and manage legal, regulatory, and contractual requirements, including privacy and civil liberties obligations. </w:t>
      </w:r>
    </w:p>
    <w:p w14:paraId="08D726D8" w14:textId="77777777" w:rsidR="0077607C" w:rsidRDefault="0077607C" w:rsidP="0077607C">
      <w:pPr>
        <w:numPr>
          <w:ilvl w:val="0"/>
          <w:numId w:val="11"/>
        </w:numPr>
        <w:spacing w:after="160" w:line="278" w:lineRule="auto"/>
        <w:jc w:val="both"/>
        <w:rPr>
          <w:rFonts w:ascii="Noto Sans Symbols" w:eastAsia="Noto Sans Symbols" w:hAnsi="Noto Sans Symbols" w:cs="Noto Sans Symbols"/>
          <w:sz w:val="22"/>
          <w:szCs w:val="22"/>
        </w:rPr>
      </w:pPr>
      <w:proofErr w:type="spellStart"/>
      <w:r>
        <w:rPr>
          <w:rFonts w:ascii="Arial" w:eastAsia="Arial" w:hAnsi="Arial" w:cs="Arial"/>
          <w:b/>
          <w:bCs/>
          <w:color w:val="A02B93"/>
          <w:sz w:val="22"/>
          <w:szCs w:val="22"/>
        </w:rPr>
        <w:t>Analyse</w:t>
      </w:r>
      <w:proofErr w:type="spellEnd"/>
      <w:r>
        <w:rPr>
          <w:rFonts w:ascii="Arial" w:eastAsia="Arial" w:hAnsi="Arial" w:cs="Arial"/>
          <w:b/>
          <w:bCs/>
          <w:color w:val="A02B93"/>
          <w:sz w:val="22"/>
          <w:szCs w:val="22"/>
        </w:rPr>
        <w:t xml:space="preserve"> Dependencies:</w:t>
      </w:r>
      <w:r>
        <w:rPr>
          <w:rFonts w:ascii="Arial" w:eastAsia="Arial" w:hAnsi="Arial" w:cs="Arial"/>
          <w:color w:val="A02B93"/>
          <w:sz w:val="22"/>
          <w:szCs w:val="22"/>
        </w:rPr>
        <w:t xml:space="preserve"> * </w:t>
      </w:r>
      <w:r>
        <w:rPr>
          <w:rFonts w:ascii="Arial" w:eastAsia="Arial" w:hAnsi="Arial" w:cs="Arial"/>
          <w:b/>
          <w:bCs/>
          <w:color w:val="A02B93"/>
          <w:sz w:val="22"/>
          <w:szCs w:val="22"/>
        </w:rPr>
        <w:t>External Reliance</w:t>
      </w:r>
      <w:r>
        <w:rPr>
          <w:rFonts w:ascii="Arial" w:eastAsia="Arial" w:hAnsi="Arial" w:cs="Arial"/>
          <w:b/>
          <w:bCs/>
          <w:sz w:val="22"/>
          <w:szCs w:val="22"/>
        </w:rPr>
        <w:t>:</w:t>
      </w:r>
      <w:r>
        <w:rPr>
          <w:rFonts w:ascii="Arial" w:eastAsia="Arial" w:hAnsi="Arial" w:cs="Arial"/>
          <w:sz w:val="22"/>
          <w:szCs w:val="22"/>
        </w:rPr>
        <w:t xml:space="preserve"> Identify and communicate critical outcomes, capabilities, and services that the organization depends on from external parties. </w:t>
      </w:r>
    </w:p>
    <w:p w14:paraId="40F9DBC0" w14:textId="77777777" w:rsidR="0077607C" w:rsidRDefault="0077607C" w:rsidP="0077607C">
      <w:pPr>
        <w:numPr>
          <w:ilvl w:val="1"/>
          <w:numId w:val="11"/>
        </w:numPr>
        <w:spacing w:after="160" w:line="278" w:lineRule="auto"/>
        <w:jc w:val="both"/>
        <w:rPr>
          <w:rFonts w:ascii="Courier New" w:eastAsia="Courier New" w:hAnsi="Courier New" w:cs="Courier New"/>
          <w:sz w:val="22"/>
          <w:szCs w:val="22"/>
        </w:rPr>
      </w:pPr>
      <w:r>
        <w:rPr>
          <w:rFonts w:ascii="Arial" w:eastAsia="Arial" w:hAnsi="Arial" w:cs="Arial"/>
          <w:b/>
          <w:bCs/>
          <w:color w:val="A02B93"/>
          <w:sz w:val="22"/>
          <w:szCs w:val="22"/>
        </w:rPr>
        <w:t>Stakeholder Reliance</w:t>
      </w:r>
      <w:r>
        <w:rPr>
          <w:rFonts w:ascii="Arial" w:eastAsia="Arial" w:hAnsi="Arial" w:cs="Arial"/>
          <w:b/>
          <w:bCs/>
          <w:sz w:val="22"/>
          <w:szCs w:val="22"/>
        </w:rPr>
        <w:t>:</w:t>
      </w:r>
      <w:r>
        <w:rPr>
          <w:rFonts w:ascii="Arial" w:eastAsia="Arial" w:hAnsi="Arial" w:cs="Arial"/>
          <w:sz w:val="22"/>
          <w:szCs w:val="22"/>
        </w:rPr>
        <w:t xml:space="preserve"> Determine and communicate critical objectives, capabilities, and services that stakeholders depend on or expect from the organization</w:t>
      </w:r>
    </w:p>
    <w:p w14:paraId="4C701FD4" w14:textId="77777777" w:rsidR="0077607C" w:rsidRDefault="0077607C" w:rsidP="0077607C">
      <w:pPr>
        <w:spacing w:after="160" w:line="278" w:lineRule="auto"/>
        <w:ind w:left="720"/>
        <w:jc w:val="both"/>
        <w:rPr>
          <w:rFonts w:ascii="Arial" w:eastAsia="Arial" w:hAnsi="Arial" w:cs="Arial"/>
          <w:sz w:val="22"/>
          <w:szCs w:val="22"/>
        </w:rPr>
      </w:pPr>
    </w:p>
    <w:p w14:paraId="0481E202" w14:textId="77777777" w:rsidR="0077607C" w:rsidRDefault="0077607C" w:rsidP="0077607C">
      <w:pPr>
        <w:numPr>
          <w:ilvl w:val="0"/>
          <w:numId w:val="5"/>
        </w:numPr>
        <w:spacing w:after="160" w:line="278" w:lineRule="auto"/>
        <w:jc w:val="both"/>
        <w:rPr>
          <w:rFonts w:ascii="Aptos" w:eastAsia="Aptos" w:hAnsi="Aptos" w:cs="Aptos"/>
          <w:sz w:val="22"/>
          <w:szCs w:val="22"/>
        </w:rPr>
      </w:pPr>
      <w:r>
        <w:rPr>
          <w:rFonts w:ascii="Arial" w:eastAsia="Arial" w:hAnsi="Arial" w:cs="Arial"/>
          <w:b/>
          <w:bCs/>
          <w:sz w:val="22"/>
          <w:szCs w:val="22"/>
        </w:rPr>
        <w:t>Risk Management Strategy (GV.RM):</w:t>
      </w:r>
      <w:r>
        <w:rPr>
          <w:rFonts w:ascii="Arial" w:eastAsia="Arial" w:hAnsi="Arial" w:cs="Arial"/>
          <w:sz w:val="22"/>
          <w:szCs w:val="22"/>
        </w:rPr>
        <w:t xml:space="preserve"> This involves establishing and communicating the organization's risk appetite and risk tolerance, ensuring that risk management activities are prioritized according to business objectives. </w:t>
      </w:r>
    </w:p>
    <w:p w14:paraId="05C81FFA"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lastRenderedPageBreak/>
        <w:t xml:space="preserve">Risk </w:t>
      </w:r>
      <w:proofErr w:type="spellStart"/>
      <w:r>
        <w:rPr>
          <w:rFonts w:ascii="Arial" w:eastAsia="Arial" w:hAnsi="Arial" w:cs="Arial"/>
          <w:sz w:val="22"/>
          <w:szCs w:val="22"/>
        </w:rPr>
        <w:t>Apetite</w:t>
      </w:r>
      <w:proofErr w:type="spellEnd"/>
      <w:r>
        <w:rPr>
          <w:rFonts w:ascii="Arial" w:eastAsia="Arial" w:hAnsi="Arial" w:cs="Arial"/>
          <w:sz w:val="22"/>
          <w:szCs w:val="22"/>
        </w:rPr>
        <w:t xml:space="preserve"> is defined as the types and amount of risk an organization is willing to accept in pursuit of its value, mission, or vision and its purpose is to set the high-level boundaries for risk-taking in pursuit of organizational goals.</w:t>
      </w:r>
    </w:p>
    <w:p w14:paraId="697F649A"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t>Risk Tolerance provides the specific, measurable boundaries for that appetite. It defines the upper limit of risk the organization is willing to accept for specific assets, processes, or systems</w:t>
      </w:r>
    </w:p>
    <w:p w14:paraId="57435D48" w14:textId="77777777" w:rsidR="0077607C" w:rsidRDefault="0077607C" w:rsidP="0077607C">
      <w:pPr>
        <w:spacing w:after="160" w:line="278" w:lineRule="auto"/>
        <w:ind w:left="720"/>
        <w:jc w:val="both"/>
        <w:rPr>
          <w:rFonts w:ascii="Arial" w:eastAsia="Arial" w:hAnsi="Arial" w:cs="Arial"/>
          <w:sz w:val="22"/>
          <w:szCs w:val="22"/>
        </w:rPr>
      </w:pPr>
    </w:p>
    <w:sdt>
      <w:sdtPr>
        <w:tag w:val="goog_rdk_0"/>
        <w:id w:val="1464724281"/>
        <w:lock w:val="contentLocked"/>
      </w:sdtPr>
      <w:sdtContent>
        <w:tbl>
          <w:tblPr>
            <w:tblpPr w:leftFromText="180" w:rightFromText="180" w:topFromText="180" w:bottomFromText="180" w:vertAnchor="text" w:tblpX="645"/>
            <w:tblW w:w="9010" w:type="dxa"/>
            <w:tblLayout w:type="fixed"/>
            <w:tblLook w:val="0400" w:firstRow="0" w:lastRow="0" w:firstColumn="0" w:lastColumn="0" w:noHBand="0" w:noVBand="1"/>
          </w:tblPr>
          <w:tblGrid>
            <w:gridCol w:w="2295"/>
            <w:gridCol w:w="2869"/>
            <w:gridCol w:w="3846"/>
          </w:tblGrid>
          <w:tr w:rsidR="0077607C" w14:paraId="63E9A337" w14:textId="77777777" w:rsidTr="002B7136">
            <w:trPr>
              <w:tblHeader/>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5E7E3A"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Concept</w:t>
                </w:r>
              </w:p>
            </w:tc>
            <w:tc>
              <w:tcPr>
                <w:tcW w:w="28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1D6691"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Description</w:t>
                </w:r>
              </w:p>
            </w:tc>
            <w:tc>
              <w:tcPr>
                <w:tcW w:w="3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F486F0"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Implementation Example</w:t>
                </w:r>
              </w:p>
            </w:tc>
          </w:tr>
          <w:tr w:rsidR="0077607C" w14:paraId="31E72BA4" w14:textId="77777777" w:rsidTr="002B7136">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762C1"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Risk Appetite</w:t>
                </w:r>
              </w:p>
            </w:tc>
            <w:tc>
              <w:tcPr>
                <w:tcW w:w="28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043D90"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The organization's broad posture.</w:t>
                </w:r>
              </w:p>
            </w:tc>
            <w:tc>
              <w:tcPr>
                <w:tcW w:w="3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BA80AC"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"We have a low appetite for risks that could disrupt primary revenue services."</w:t>
                </w:r>
              </w:p>
            </w:tc>
          </w:tr>
          <w:tr w:rsidR="0077607C" w14:paraId="40C62041" w14:textId="77777777" w:rsidTr="002B7136">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81EE4D"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Risk Tolerance</w:t>
                </w:r>
              </w:p>
            </w:tc>
            <w:tc>
              <w:tcPr>
                <w:tcW w:w="28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9FAA88"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Specific, measurable thresholds.</w:t>
                </w:r>
              </w:p>
            </w:tc>
            <w:tc>
              <w:tcPr>
                <w:tcW w:w="38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5E03D6"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"Downtime for [System X] must not exceed 4 hours per quarter."</w:t>
                </w:r>
              </w:p>
            </w:tc>
          </w:tr>
        </w:tbl>
      </w:sdtContent>
    </w:sdt>
    <w:p w14:paraId="0BD02C97" w14:textId="77777777" w:rsidR="0077607C" w:rsidRDefault="0077607C" w:rsidP="0077607C">
      <w:pPr>
        <w:numPr>
          <w:ilvl w:val="0"/>
          <w:numId w:val="5"/>
        </w:numPr>
        <w:spacing w:after="160" w:line="278" w:lineRule="auto"/>
        <w:jc w:val="both"/>
        <w:rPr>
          <w:rFonts w:ascii="Aptos" w:eastAsia="Aptos" w:hAnsi="Aptos" w:cs="Aptos"/>
          <w:color w:val="BF4F14"/>
          <w:sz w:val="22"/>
          <w:szCs w:val="22"/>
        </w:rPr>
      </w:pPr>
      <w:r>
        <w:rPr>
          <w:rFonts w:ascii="Arial" w:eastAsia="Arial" w:hAnsi="Arial" w:cs="Arial"/>
          <w:b/>
          <w:bCs/>
          <w:sz w:val="22"/>
          <w:szCs w:val="22"/>
        </w:rPr>
        <w:t>Roles, Responsibilities, and Authorities (</w:t>
      </w:r>
      <w:proofErr w:type="gramStart"/>
      <w:r>
        <w:rPr>
          <w:rFonts w:ascii="Arial" w:eastAsia="Arial" w:hAnsi="Arial" w:cs="Arial"/>
          <w:b/>
          <w:bCs/>
          <w:sz w:val="22"/>
          <w:szCs w:val="22"/>
        </w:rPr>
        <w:t>GV.RR</w:t>
      </w:r>
      <w:proofErr w:type="gramEnd"/>
      <w:r>
        <w:rPr>
          <w:rFonts w:ascii="Arial" w:eastAsia="Arial" w:hAnsi="Arial" w:cs="Arial"/>
          <w:b/>
          <w:bCs/>
          <w:sz w:val="22"/>
          <w:szCs w:val="22"/>
        </w:rPr>
        <w:t>):</w:t>
      </w:r>
      <w:r>
        <w:rPr>
          <w:rFonts w:ascii="Arial" w:eastAsia="Arial" w:hAnsi="Arial" w:cs="Arial"/>
          <w:sz w:val="22"/>
          <w:szCs w:val="22"/>
        </w:rPr>
        <w:t xml:space="preserve"> Governance requires defining exactly who is accountable for cybersecurity decisions. It ensures that security roles are clear across the entire organization, from the board level to individual contributors</w:t>
      </w:r>
      <w:r>
        <w:rPr>
          <w:rFonts w:ascii="Arial" w:eastAsia="Arial" w:hAnsi="Arial" w:cs="Arial"/>
          <w:color w:val="BF4F14"/>
          <w:sz w:val="22"/>
          <w:szCs w:val="22"/>
        </w:rPr>
        <w:t xml:space="preserve">. </w:t>
      </w:r>
    </w:p>
    <w:p w14:paraId="4C4B6190"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t xml:space="preserve">The primary goal of </w:t>
      </w:r>
      <w:proofErr w:type="gramStart"/>
      <w:r>
        <w:rPr>
          <w:rFonts w:ascii="Arial" w:eastAsia="Arial" w:hAnsi="Arial" w:cs="Arial"/>
          <w:sz w:val="22"/>
          <w:szCs w:val="22"/>
        </w:rPr>
        <w:t>GV.RR</w:t>
      </w:r>
      <w:proofErr w:type="gramEnd"/>
      <w:r>
        <w:rPr>
          <w:rFonts w:ascii="Arial" w:eastAsia="Arial" w:hAnsi="Arial" w:cs="Arial"/>
          <w:sz w:val="22"/>
          <w:szCs w:val="22"/>
        </w:rPr>
        <w:t xml:space="preserve"> is to establish clear accountability. Without defined roles and authorities, cybersecurity efforts often fail due to confusion, lack of budget, or "responsibility gaps" where critical security tasks fall through the cracks.</w:t>
      </w:r>
    </w:p>
    <w:p w14:paraId="02EAC0CF" w14:textId="77777777" w:rsidR="0077607C" w:rsidRDefault="0077607C" w:rsidP="0077607C">
      <w:pPr>
        <w:spacing w:after="160" w:line="278" w:lineRule="auto"/>
        <w:ind w:left="720"/>
        <w:jc w:val="both"/>
        <w:rPr>
          <w:rFonts w:ascii="Arial" w:eastAsia="Arial" w:hAnsi="Arial" w:cs="Arial"/>
          <w:b/>
          <w:bCs/>
          <w:sz w:val="22"/>
          <w:szCs w:val="22"/>
        </w:rPr>
      </w:pPr>
      <w:r>
        <w:rPr>
          <w:rFonts w:ascii="Arial" w:eastAsia="Arial" w:hAnsi="Arial" w:cs="Arial"/>
          <w:b/>
          <w:bCs/>
          <w:sz w:val="22"/>
          <w:szCs w:val="22"/>
        </w:rPr>
        <w:t>The Core Components</w:t>
      </w:r>
    </w:p>
    <w:p w14:paraId="02F38378"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t>The category is structured to ensure that everyone from the Board of Directors to the system operators understands their contribution to the organization’s security posture.</w:t>
      </w:r>
    </w:p>
    <w:p w14:paraId="530743E6" w14:textId="77777777" w:rsidR="0077607C" w:rsidRDefault="0077607C" w:rsidP="0077607C">
      <w:pPr>
        <w:spacing w:after="160" w:line="278" w:lineRule="auto"/>
        <w:ind w:left="720"/>
        <w:jc w:val="both"/>
        <w:rPr>
          <w:rFonts w:ascii="Arial" w:eastAsia="Arial" w:hAnsi="Arial" w:cs="Arial"/>
          <w:sz w:val="22"/>
          <w:szCs w:val="22"/>
        </w:rPr>
      </w:pPr>
    </w:p>
    <w:p w14:paraId="58C4ACF5" w14:textId="77777777" w:rsidR="0077607C" w:rsidRDefault="0077607C" w:rsidP="0077607C">
      <w:pPr>
        <w:numPr>
          <w:ilvl w:val="0"/>
          <w:numId w:val="5"/>
        </w:numPr>
        <w:spacing w:after="160" w:line="278" w:lineRule="auto"/>
        <w:jc w:val="both"/>
        <w:rPr>
          <w:rFonts w:ascii="Aptos" w:eastAsia="Aptos" w:hAnsi="Aptos" w:cs="Aptos"/>
          <w:sz w:val="22"/>
          <w:szCs w:val="22"/>
        </w:rPr>
      </w:pPr>
      <w:r>
        <w:rPr>
          <w:rFonts w:ascii="Arial" w:eastAsia="Arial" w:hAnsi="Arial" w:cs="Arial"/>
          <w:b/>
          <w:bCs/>
          <w:sz w:val="22"/>
          <w:szCs w:val="22"/>
        </w:rPr>
        <w:t>Policy (GV.PO):</w:t>
      </w:r>
      <w:r>
        <w:rPr>
          <w:rFonts w:ascii="Arial" w:eastAsia="Arial" w:hAnsi="Arial" w:cs="Arial"/>
          <w:sz w:val="22"/>
          <w:szCs w:val="22"/>
        </w:rPr>
        <w:t xml:space="preserve"> This category focuses on creating and maintaining formal policies that reflect the organization’s cybersecurity goals, ensuring they are documented and understood. </w:t>
      </w:r>
    </w:p>
    <w:p w14:paraId="0C2C2679" w14:textId="77777777" w:rsidR="0077607C" w:rsidRDefault="0077607C" w:rsidP="0077607C">
      <w:pPr>
        <w:spacing w:after="160" w:line="278" w:lineRule="auto"/>
        <w:ind w:left="720"/>
        <w:jc w:val="both"/>
        <w:rPr>
          <w:rFonts w:ascii="Arial" w:eastAsia="Arial" w:hAnsi="Arial" w:cs="Arial"/>
          <w:sz w:val="22"/>
          <w:szCs w:val="22"/>
        </w:rPr>
      </w:pPr>
    </w:p>
    <w:sdt>
      <w:sdtPr>
        <w:tag w:val="goog_rdk_1"/>
        <w:id w:val="-1176883160"/>
        <w:lock w:val="contentLocked"/>
      </w:sdtPr>
      <w:sdtContent>
        <w:tbl>
          <w:tblPr>
            <w:tblpPr w:leftFromText="180" w:rightFromText="180" w:topFromText="180" w:bottomFromText="180" w:vertAnchor="text" w:tblpX="795"/>
            <w:tblW w:w="9010" w:type="dxa"/>
            <w:tblLayout w:type="fixed"/>
            <w:tblLook w:val="0400" w:firstRow="0" w:lastRow="0" w:firstColumn="0" w:lastColumn="0" w:noHBand="0" w:noVBand="1"/>
          </w:tblPr>
          <w:tblGrid>
            <w:gridCol w:w="2526"/>
            <w:gridCol w:w="2759"/>
            <w:gridCol w:w="3725"/>
          </w:tblGrid>
          <w:tr w:rsidR="0077607C" w14:paraId="6B556B3C" w14:textId="77777777" w:rsidTr="002B7136">
            <w:trPr>
              <w:tblHeader/>
            </w:trPr>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C9FEA"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Subcategory</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1F9114"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Focus</w:t>
                </w:r>
              </w:p>
            </w:tc>
            <w:tc>
              <w:tcPr>
                <w:tcW w:w="3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D612B"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Key Objective</w:t>
                </w:r>
              </w:p>
            </w:tc>
          </w:tr>
          <w:tr w:rsidR="0077607C" w14:paraId="6BC81720" w14:textId="77777777" w:rsidTr="002B7136">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FFDAFA"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GV.RR-01</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807E29"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Organizational Roles</w:t>
                </w:r>
              </w:p>
            </w:tc>
            <w:tc>
              <w:tcPr>
                <w:tcW w:w="3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74E6D4"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Defining and communicating clear cybersecurity roles and responsibilities for all personnel.</w:t>
                </w:r>
              </w:p>
            </w:tc>
          </w:tr>
          <w:tr w:rsidR="0077607C" w14:paraId="377BF15B" w14:textId="77777777" w:rsidTr="002B7136">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2C04BB"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GV.RR-02</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BE7F89"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Organizational Authorities</w:t>
                </w:r>
              </w:p>
            </w:tc>
            <w:tc>
              <w:tcPr>
                <w:tcW w:w="3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2F5926"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Ensuring that personnel have the explicit authority to carry out their assigned cybersecurity responsibilities.</w:t>
                </w:r>
              </w:p>
            </w:tc>
          </w:tr>
          <w:tr w:rsidR="0077607C" w14:paraId="6914B3B0" w14:textId="77777777" w:rsidTr="002B7136">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E6EEC6"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GV.RR-03</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62FD0B"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Mission-Critical Assets</w:t>
                </w:r>
              </w:p>
            </w:tc>
            <w:tc>
              <w:tcPr>
                <w:tcW w:w="3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926409"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Designating specific individuals who are responsible for the security of mission-critical assets.</w:t>
                </w:r>
              </w:p>
            </w:tc>
          </w:tr>
        </w:tbl>
      </w:sdtContent>
    </w:sdt>
    <w:p w14:paraId="5A3E61E5"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t xml:space="preserve">Policy translates the organization’s high-level </w:t>
      </w:r>
      <w:r>
        <w:rPr>
          <w:rFonts w:ascii="Arial" w:eastAsia="Arial" w:hAnsi="Arial" w:cs="Arial"/>
          <w:b/>
          <w:bCs/>
          <w:sz w:val="22"/>
          <w:szCs w:val="22"/>
        </w:rPr>
        <w:t>Risk Appetite</w:t>
      </w:r>
      <w:r>
        <w:rPr>
          <w:rFonts w:ascii="Arial" w:eastAsia="Arial" w:hAnsi="Arial" w:cs="Arial"/>
          <w:sz w:val="22"/>
          <w:szCs w:val="22"/>
        </w:rPr>
        <w:t xml:space="preserve"> and </w:t>
      </w:r>
      <w:r>
        <w:rPr>
          <w:rFonts w:ascii="Arial" w:eastAsia="Arial" w:hAnsi="Arial" w:cs="Arial"/>
          <w:b/>
          <w:bCs/>
          <w:sz w:val="22"/>
          <w:szCs w:val="22"/>
        </w:rPr>
        <w:t>Strategy</w:t>
      </w:r>
      <w:r>
        <w:rPr>
          <w:rFonts w:ascii="Arial" w:eastAsia="Arial" w:hAnsi="Arial" w:cs="Arial"/>
          <w:sz w:val="22"/>
          <w:szCs w:val="22"/>
        </w:rPr>
        <w:t xml:space="preserve"> into actionable, repeatable, and enforceable documents. It bridges the gap between executive intent (the "what we want") and daily operations (the "how we do it").</w:t>
      </w:r>
    </w:p>
    <w:p w14:paraId="263E6ACE" w14:textId="77777777" w:rsidR="0077607C" w:rsidRDefault="0077607C" w:rsidP="0077607C">
      <w:pPr>
        <w:spacing w:after="160" w:line="278" w:lineRule="auto"/>
        <w:ind w:left="720"/>
        <w:jc w:val="both"/>
        <w:rPr>
          <w:rFonts w:ascii="Arial" w:eastAsia="Arial" w:hAnsi="Arial" w:cs="Arial"/>
          <w:b/>
          <w:bCs/>
          <w:sz w:val="22"/>
          <w:szCs w:val="22"/>
        </w:rPr>
      </w:pPr>
    </w:p>
    <w:p w14:paraId="439427CB" w14:textId="77777777" w:rsidR="0077607C" w:rsidRDefault="0077607C" w:rsidP="0077607C">
      <w:pPr>
        <w:spacing w:after="160" w:line="278" w:lineRule="auto"/>
        <w:ind w:left="720"/>
        <w:jc w:val="both"/>
        <w:rPr>
          <w:rFonts w:ascii="Arial" w:eastAsia="Arial" w:hAnsi="Arial" w:cs="Arial"/>
          <w:b/>
          <w:bCs/>
          <w:sz w:val="22"/>
          <w:szCs w:val="22"/>
        </w:rPr>
      </w:pPr>
    </w:p>
    <w:p w14:paraId="25C7711D" w14:textId="77777777" w:rsidR="0077607C" w:rsidRDefault="0077607C" w:rsidP="0077607C">
      <w:pPr>
        <w:spacing w:after="160" w:line="278" w:lineRule="auto"/>
        <w:ind w:left="720"/>
        <w:jc w:val="both"/>
        <w:rPr>
          <w:rFonts w:ascii="Arial" w:eastAsia="Arial" w:hAnsi="Arial" w:cs="Arial"/>
          <w:b/>
          <w:bCs/>
          <w:sz w:val="22"/>
          <w:szCs w:val="22"/>
        </w:rPr>
      </w:pPr>
    </w:p>
    <w:p w14:paraId="6F4B1B42" w14:textId="77777777" w:rsidR="0077607C" w:rsidRDefault="0077607C" w:rsidP="0077607C">
      <w:pPr>
        <w:spacing w:after="160" w:line="278" w:lineRule="auto"/>
        <w:ind w:left="720"/>
        <w:jc w:val="both"/>
        <w:rPr>
          <w:rFonts w:ascii="Arial" w:eastAsia="Arial" w:hAnsi="Arial" w:cs="Arial"/>
          <w:b/>
          <w:bCs/>
          <w:sz w:val="22"/>
          <w:szCs w:val="22"/>
        </w:rPr>
      </w:pPr>
    </w:p>
    <w:p w14:paraId="2F6195E2" w14:textId="77777777" w:rsidR="0077607C" w:rsidRDefault="0077607C" w:rsidP="0077607C">
      <w:pPr>
        <w:spacing w:after="160" w:line="278" w:lineRule="auto"/>
        <w:ind w:left="720"/>
        <w:jc w:val="both"/>
        <w:rPr>
          <w:rFonts w:ascii="Arial" w:eastAsia="Arial" w:hAnsi="Arial" w:cs="Arial"/>
          <w:b/>
          <w:bCs/>
          <w:sz w:val="22"/>
          <w:szCs w:val="22"/>
        </w:rPr>
      </w:pPr>
    </w:p>
    <w:p w14:paraId="4DBFCFF3" w14:textId="77777777" w:rsidR="0077607C" w:rsidRDefault="0077607C" w:rsidP="0077607C">
      <w:pPr>
        <w:spacing w:after="160" w:line="278" w:lineRule="auto"/>
        <w:ind w:left="720"/>
        <w:jc w:val="both"/>
        <w:rPr>
          <w:rFonts w:ascii="Arial" w:eastAsia="Arial" w:hAnsi="Arial" w:cs="Arial"/>
          <w:b/>
          <w:bCs/>
          <w:sz w:val="22"/>
          <w:szCs w:val="22"/>
        </w:rPr>
      </w:pPr>
      <w:r>
        <w:rPr>
          <w:rFonts w:ascii="Arial" w:eastAsia="Arial" w:hAnsi="Arial" w:cs="Arial"/>
          <w:b/>
          <w:bCs/>
          <w:sz w:val="22"/>
          <w:szCs w:val="22"/>
        </w:rPr>
        <w:t>The Core Components</w:t>
      </w:r>
    </w:p>
    <w:p w14:paraId="529976BE"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t>The GV.PO category focuses on three essential elements of policy management</w:t>
      </w:r>
    </w:p>
    <w:p w14:paraId="646D2C37" w14:textId="77777777" w:rsidR="0077607C" w:rsidRDefault="0077607C" w:rsidP="0077607C">
      <w:pPr>
        <w:spacing w:after="160" w:line="278" w:lineRule="auto"/>
        <w:ind w:left="720"/>
        <w:jc w:val="both"/>
        <w:rPr>
          <w:rFonts w:ascii="Arial" w:eastAsia="Arial" w:hAnsi="Arial" w:cs="Arial"/>
          <w:sz w:val="22"/>
          <w:szCs w:val="22"/>
        </w:rPr>
      </w:pPr>
    </w:p>
    <w:sdt>
      <w:sdtPr>
        <w:tag w:val="goog_rdk_2"/>
        <w:id w:val="-1992296586"/>
        <w:lock w:val="contentLocked"/>
      </w:sdtPr>
      <w:sdtContent>
        <w:tbl>
          <w:tblPr>
            <w:tblpPr w:leftFromText="180" w:rightFromText="180" w:topFromText="180" w:bottomFromText="180" w:vertAnchor="text" w:tblpX="720"/>
            <w:tblW w:w="9010" w:type="dxa"/>
            <w:tblLayout w:type="fixed"/>
            <w:tblLook w:val="0400" w:firstRow="0" w:lastRow="0" w:firstColumn="0" w:lastColumn="0" w:noHBand="0" w:noVBand="1"/>
          </w:tblPr>
          <w:tblGrid>
            <w:gridCol w:w="2526"/>
            <w:gridCol w:w="2847"/>
            <w:gridCol w:w="3637"/>
          </w:tblGrid>
          <w:tr w:rsidR="0077607C" w14:paraId="334DF53F" w14:textId="77777777" w:rsidTr="002B7136">
            <w:trPr>
              <w:tblHeader/>
            </w:trPr>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627FA"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Subcategory</w:t>
                </w:r>
              </w:p>
            </w:tc>
            <w:tc>
              <w:tcPr>
                <w:tcW w:w="2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786E2C"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Focus</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276B58"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Core Objective</w:t>
                </w:r>
              </w:p>
            </w:tc>
          </w:tr>
          <w:tr w:rsidR="0077607C" w14:paraId="1492A027" w14:textId="77777777" w:rsidTr="002B7136">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C6497A"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GV.PO-01</w:t>
                </w:r>
              </w:p>
            </w:tc>
            <w:tc>
              <w:tcPr>
                <w:tcW w:w="2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DB41F"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Development</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F3EB31"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Developing and establishing cybersecurity policies that align with the organizational mission and strategy.</w:t>
                </w:r>
              </w:p>
            </w:tc>
          </w:tr>
          <w:tr w:rsidR="0077607C" w14:paraId="06BC860D" w14:textId="77777777" w:rsidTr="002B7136">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6BA7A"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GV.PO-02</w:t>
                </w:r>
              </w:p>
            </w:tc>
            <w:tc>
              <w:tcPr>
                <w:tcW w:w="2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FCD101"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Communication</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B08C6"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Ensuring that cybersecurity policies are disseminated and understood by all personnel and relevant third parties.</w:t>
                </w:r>
              </w:p>
            </w:tc>
          </w:tr>
          <w:tr w:rsidR="0077607C" w14:paraId="6704C315" w14:textId="77777777" w:rsidTr="002B7136">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F4657"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b/>
                    <w:bCs/>
                    <w:sz w:val="22"/>
                    <w:szCs w:val="22"/>
                  </w:rPr>
                  <w:t>GV.PO-03</w:t>
                </w:r>
              </w:p>
            </w:tc>
            <w:tc>
              <w:tcPr>
                <w:tcW w:w="28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EA3221"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Review and Update</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91CA26" w14:textId="77777777" w:rsidR="0077607C" w:rsidRDefault="0077607C" w:rsidP="002B7136">
                <w:pPr>
                  <w:spacing w:after="160" w:line="278" w:lineRule="auto"/>
                  <w:ind w:left="720"/>
                  <w:jc w:val="both"/>
                  <w:rPr>
                    <w:rFonts w:ascii="Arial" w:eastAsia="Arial" w:hAnsi="Arial" w:cs="Arial"/>
                    <w:sz w:val="22"/>
                    <w:szCs w:val="22"/>
                  </w:rPr>
                </w:pPr>
                <w:r>
                  <w:rPr>
                    <w:rFonts w:ascii="Arial" w:eastAsia="Arial" w:hAnsi="Arial" w:cs="Arial"/>
                    <w:sz w:val="22"/>
                    <w:szCs w:val="22"/>
                  </w:rPr>
                  <w:t>Periodically reviewing and updating policies to ensure they remain relevant to the evolving threat landscape and organizational changes.</w:t>
                </w:r>
              </w:p>
            </w:tc>
          </w:tr>
        </w:tbl>
      </w:sdtContent>
    </w:sdt>
    <w:p w14:paraId="3CBCEE12" w14:textId="77777777" w:rsidR="0077607C" w:rsidRDefault="0077607C" w:rsidP="0077607C">
      <w:pPr>
        <w:spacing w:after="160" w:line="278" w:lineRule="auto"/>
        <w:ind w:left="720"/>
        <w:jc w:val="both"/>
        <w:rPr>
          <w:rFonts w:ascii="Arial" w:eastAsia="Arial" w:hAnsi="Arial" w:cs="Arial"/>
          <w:sz w:val="22"/>
          <w:szCs w:val="22"/>
        </w:rPr>
      </w:pPr>
    </w:p>
    <w:p w14:paraId="37060287" w14:textId="77777777" w:rsidR="0077607C" w:rsidRDefault="0077607C" w:rsidP="0077607C">
      <w:pPr>
        <w:numPr>
          <w:ilvl w:val="0"/>
          <w:numId w:val="5"/>
        </w:numPr>
        <w:spacing w:after="160" w:line="278" w:lineRule="auto"/>
        <w:jc w:val="both"/>
        <w:rPr>
          <w:rFonts w:ascii="Aptos" w:eastAsia="Aptos" w:hAnsi="Aptos" w:cs="Aptos"/>
          <w:sz w:val="22"/>
          <w:szCs w:val="22"/>
        </w:rPr>
      </w:pPr>
      <w:r>
        <w:rPr>
          <w:rFonts w:ascii="Arial" w:eastAsia="Arial" w:hAnsi="Arial" w:cs="Arial"/>
          <w:b/>
          <w:bCs/>
          <w:sz w:val="22"/>
          <w:szCs w:val="22"/>
        </w:rPr>
        <w:t>Oversight (</w:t>
      </w:r>
      <w:proofErr w:type="gramStart"/>
      <w:r>
        <w:rPr>
          <w:rFonts w:ascii="Arial" w:eastAsia="Arial" w:hAnsi="Arial" w:cs="Arial"/>
          <w:b/>
          <w:bCs/>
          <w:sz w:val="22"/>
          <w:szCs w:val="22"/>
        </w:rPr>
        <w:t>GV.OV</w:t>
      </w:r>
      <w:proofErr w:type="gramEnd"/>
      <w:r>
        <w:rPr>
          <w:rFonts w:ascii="Arial" w:eastAsia="Arial" w:hAnsi="Arial" w:cs="Arial"/>
          <w:b/>
          <w:bCs/>
          <w:sz w:val="22"/>
          <w:szCs w:val="22"/>
        </w:rPr>
        <w:t>):</w:t>
      </w:r>
      <w:r>
        <w:rPr>
          <w:rFonts w:ascii="Arial" w:eastAsia="Arial" w:hAnsi="Arial" w:cs="Arial"/>
          <w:sz w:val="22"/>
          <w:szCs w:val="22"/>
        </w:rPr>
        <w:t xml:space="preserve"> Governance involves continuous monitoring of the cybersecurity strategy. It ensures that the organization’s results are reviewed against its stated goals, providing the feedback loop necessary to adjust tactics. </w:t>
      </w:r>
    </w:p>
    <w:p w14:paraId="7C9BD4A6"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t xml:space="preserve">Oversight transforms cybersecurity from a static set of rules into a </w:t>
      </w:r>
      <w:r>
        <w:rPr>
          <w:rFonts w:ascii="Arial" w:eastAsia="Arial" w:hAnsi="Arial" w:cs="Arial"/>
          <w:b/>
          <w:bCs/>
          <w:sz w:val="22"/>
          <w:szCs w:val="22"/>
        </w:rPr>
        <w:t>dynamic, performance-driven program</w:t>
      </w:r>
      <w:r>
        <w:rPr>
          <w:rFonts w:ascii="Arial" w:eastAsia="Arial" w:hAnsi="Arial" w:cs="Arial"/>
          <w:sz w:val="22"/>
          <w:szCs w:val="22"/>
        </w:rPr>
        <w:t>. It moves the needle from "asserting" that security is working to "demonstrating" it through evidence, metrics, and continuous review</w:t>
      </w:r>
    </w:p>
    <w:p w14:paraId="0139DBD2" w14:textId="77777777" w:rsidR="0077607C" w:rsidRDefault="0077607C" w:rsidP="0077607C">
      <w:pPr>
        <w:numPr>
          <w:ilvl w:val="0"/>
          <w:numId w:val="5"/>
        </w:numPr>
        <w:spacing w:after="160" w:line="278" w:lineRule="auto"/>
        <w:jc w:val="both"/>
        <w:rPr>
          <w:rFonts w:ascii="Aptos" w:eastAsia="Aptos" w:hAnsi="Aptos" w:cs="Aptos"/>
          <w:sz w:val="22"/>
          <w:szCs w:val="22"/>
        </w:rPr>
      </w:pPr>
      <w:r>
        <w:rPr>
          <w:rFonts w:ascii="Arial" w:eastAsia="Arial" w:hAnsi="Arial" w:cs="Arial"/>
          <w:b/>
          <w:bCs/>
          <w:sz w:val="22"/>
          <w:szCs w:val="22"/>
        </w:rPr>
        <w:t>Cybersecurity Supply Chain Risk Management (GV.SC):</w:t>
      </w:r>
      <w:r>
        <w:rPr>
          <w:rFonts w:ascii="Arial" w:eastAsia="Arial" w:hAnsi="Arial" w:cs="Arial"/>
          <w:sz w:val="22"/>
          <w:szCs w:val="22"/>
        </w:rPr>
        <w:t xml:space="preserve"> Recognizing that risks often exist outside the perimeter, this category focuses on governing the risks associated with third-party service providers, suppliers, and external partners., it focuses on the systematic process of identifying, assessing, and managing risks throughout the technology product and service lifecycle, specifically regarding third-party relationships (suppliers, vendors, partners).</w:t>
      </w:r>
    </w:p>
    <w:p w14:paraId="23B2AFFA" w14:textId="77777777" w:rsidR="0077607C" w:rsidRDefault="0077607C" w:rsidP="0077607C">
      <w:pPr>
        <w:spacing w:after="160" w:line="278" w:lineRule="auto"/>
        <w:jc w:val="both"/>
        <w:rPr>
          <w:rFonts w:ascii="Arial" w:eastAsia="Arial" w:hAnsi="Arial" w:cs="Arial"/>
          <w:sz w:val="22"/>
          <w:szCs w:val="22"/>
        </w:rPr>
      </w:pPr>
    </w:p>
    <w:p w14:paraId="1915D580" w14:textId="77777777" w:rsidR="0077607C" w:rsidRDefault="0077607C" w:rsidP="0077607C">
      <w:pPr>
        <w:spacing w:after="160" w:line="278" w:lineRule="auto"/>
        <w:jc w:val="both"/>
        <w:rPr>
          <w:rFonts w:ascii="Arial" w:eastAsia="Arial" w:hAnsi="Arial" w:cs="Arial"/>
          <w:sz w:val="22"/>
          <w:szCs w:val="22"/>
        </w:rPr>
      </w:pPr>
    </w:p>
    <w:p w14:paraId="75AC6002" w14:textId="77777777" w:rsidR="0077607C" w:rsidRDefault="0077607C" w:rsidP="0077607C">
      <w:pPr>
        <w:spacing w:after="160" w:line="278" w:lineRule="auto"/>
        <w:jc w:val="both"/>
        <w:rPr>
          <w:rFonts w:ascii="Arial" w:eastAsia="Arial" w:hAnsi="Arial" w:cs="Arial"/>
          <w:sz w:val="22"/>
          <w:szCs w:val="22"/>
        </w:rPr>
      </w:pPr>
    </w:p>
    <w:p w14:paraId="70EC2060" w14:textId="77777777" w:rsidR="0077607C" w:rsidRDefault="0077607C" w:rsidP="004766CC">
      <w:pPr>
        <w:spacing w:after="160" w:line="278" w:lineRule="auto"/>
        <w:jc w:val="both"/>
        <w:rPr>
          <w:rFonts w:ascii="Arial" w:eastAsia="Arial" w:hAnsi="Arial" w:cs="Arial"/>
          <w:sz w:val="22"/>
          <w:szCs w:val="22"/>
        </w:rPr>
      </w:pPr>
    </w:p>
    <w:p w14:paraId="2DA2FDD5" w14:textId="77777777" w:rsidR="0077607C" w:rsidRDefault="0077607C" w:rsidP="0077607C">
      <w:pPr>
        <w:spacing w:after="160" w:line="278" w:lineRule="auto"/>
        <w:ind w:left="720"/>
        <w:jc w:val="both"/>
        <w:rPr>
          <w:rFonts w:ascii="Arial" w:eastAsia="Arial" w:hAnsi="Arial" w:cs="Arial"/>
          <w:sz w:val="22"/>
          <w:szCs w:val="22"/>
        </w:rPr>
      </w:pPr>
    </w:p>
    <w:p w14:paraId="60F0B110" w14:textId="77777777" w:rsidR="0077607C" w:rsidRDefault="004766CC" w:rsidP="0077607C">
      <w:pPr>
        <w:spacing w:after="160" w:line="278" w:lineRule="auto"/>
        <w:jc w:val="both"/>
        <w:rPr>
          <w:rFonts w:ascii="Arial" w:eastAsia="Arial" w:hAnsi="Arial" w:cs="Arial"/>
          <w:sz w:val="22"/>
          <w:szCs w:val="22"/>
        </w:rPr>
      </w:pPr>
      <w:r>
        <w:rPr>
          <w:noProof/>
        </w:rPr>
        <w:lastRenderedPageBreak/>
        <w:drawing>
          <wp:anchor distT="0" distB="0" distL="114300" distR="114300" simplePos="0" relativeHeight="251660288" behindDoc="0" locked="0" layoutInCell="1" hidden="0" allowOverlap="1" wp14:anchorId="7C2A9A1B" wp14:editId="0966F4B9">
            <wp:simplePos x="0" y="0"/>
            <wp:positionH relativeFrom="column">
              <wp:posOffset>-113665</wp:posOffset>
            </wp:positionH>
            <wp:positionV relativeFrom="paragraph">
              <wp:posOffset>-86770</wp:posOffset>
            </wp:positionV>
            <wp:extent cx="6338888" cy="3429000"/>
            <wp:effectExtent l="0" t="0" r="0" b="0"/>
            <wp:wrapNone/>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338888" cy="3429000"/>
                    </a:xfrm>
                    <a:prstGeom prst="rect">
                      <a:avLst/>
                    </a:prstGeom>
                    <a:ln/>
                  </pic:spPr>
                </pic:pic>
              </a:graphicData>
            </a:graphic>
          </wp:anchor>
        </w:drawing>
      </w:r>
    </w:p>
    <w:p w14:paraId="0CC5A71B" w14:textId="77777777" w:rsidR="0077607C" w:rsidRDefault="0077607C" w:rsidP="0077607C">
      <w:pPr>
        <w:spacing w:after="160" w:line="278" w:lineRule="auto"/>
        <w:jc w:val="both"/>
        <w:rPr>
          <w:rFonts w:ascii="Arial" w:eastAsia="Arial" w:hAnsi="Arial" w:cs="Arial"/>
          <w:sz w:val="22"/>
          <w:szCs w:val="22"/>
        </w:rPr>
      </w:pPr>
    </w:p>
    <w:p w14:paraId="15A866B1" w14:textId="77777777" w:rsidR="0077607C" w:rsidRDefault="0077607C" w:rsidP="0077607C">
      <w:pPr>
        <w:spacing w:after="160" w:line="278" w:lineRule="auto"/>
        <w:jc w:val="both"/>
        <w:rPr>
          <w:rFonts w:ascii="Arial" w:eastAsia="Arial" w:hAnsi="Arial" w:cs="Arial"/>
          <w:sz w:val="22"/>
          <w:szCs w:val="22"/>
        </w:rPr>
      </w:pPr>
    </w:p>
    <w:p w14:paraId="78784A65" w14:textId="77777777" w:rsidR="0077607C" w:rsidRDefault="0077607C" w:rsidP="0077607C">
      <w:pPr>
        <w:spacing w:after="160" w:line="278" w:lineRule="auto"/>
        <w:jc w:val="both"/>
        <w:rPr>
          <w:rFonts w:ascii="Arial" w:eastAsia="Arial" w:hAnsi="Arial" w:cs="Arial"/>
          <w:sz w:val="22"/>
          <w:szCs w:val="22"/>
        </w:rPr>
      </w:pPr>
    </w:p>
    <w:p w14:paraId="39CB0A70" w14:textId="77777777" w:rsidR="0077607C" w:rsidRDefault="0077607C" w:rsidP="0077607C">
      <w:pPr>
        <w:spacing w:after="160" w:line="278" w:lineRule="auto"/>
        <w:jc w:val="both"/>
        <w:rPr>
          <w:rFonts w:ascii="Arial" w:eastAsia="Arial" w:hAnsi="Arial" w:cs="Arial"/>
          <w:sz w:val="22"/>
          <w:szCs w:val="22"/>
        </w:rPr>
      </w:pPr>
    </w:p>
    <w:p w14:paraId="3D5C4D5E" w14:textId="77777777" w:rsidR="0077607C" w:rsidRDefault="0077607C" w:rsidP="0077607C">
      <w:pPr>
        <w:spacing w:after="160" w:line="278" w:lineRule="auto"/>
        <w:jc w:val="both"/>
        <w:rPr>
          <w:rFonts w:ascii="Arial" w:eastAsia="Arial" w:hAnsi="Arial" w:cs="Arial"/>
          <w:sz w:val="22"/>
          <w:szCs w:val="22"/>
        </w:rPr>
      </w:pPr>
    </w:p>
    <w:p w14:paraId="1910F175" w14:textId="77777777" w:rsidR="0077607C" w:rsidRDefault="0077607C" w:rsidP="0077607C">
      <w:pPr>
        <w:spacing w:after="160" w:line="278" w:lineRule="auto"/>
        <w:jc w:val="both"/>
        <w:rPr>
          <w:rFonts w:ascii="Arial" w:eastAsia="Arial" w:hAnsi="Arial" w:cs="Arial"/>
          <w:sz w:val="22"/>
          <w:szCs w:val="22"/>
        </w:rPr>
      </w:pPr>
    </w:p>
    <w:p w14:paraId="3A0BD4F8" w14:textId="77777777" w:rsidR="0077607C" w:rsidRDefault="0077607C" w:rsidP="0077607C">
      <w:pPr>
        <w:spacing w:after="160" w:line="278" w:lineRule="auto"/>
        <w:jc w:val="both"/>
        <w:rPr>
          <w:rFonts w:ascii="Arial" w:eastAsia="Arial" w:hAnsi="Arial" w:cs="Arial"/>
          <w:sz w:val="22"/>
          <w:szCs w:val="22"/>
        </w:rPr>
      </w:pPr>
    </w:p>
    <w:p w14:paraId="72F60229"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 xml:space="preserve">Govern Function Application into Zero-Day Resilience </w:t>
      </w:r>
    </w:p>
    <w:p w14:paraId="62BDD774" w14:textId="77777777" w:rsidR="0077607C" w:rsidRDefault="0077607C" w:rsidP="0077607C">
      <w:pPr>
        <w:spacing w:after="160" w:line="278" w:lineRule="auto"/>
        <w:jc w:val="both"/>
        <w:rPr>
          <w:rFonts w:ascii="Arial" w:eastAsia="Arial" w:hAnsi="Arial" w:cs="Arial"/>
          <w:sz w:val="22"/>
          <w:szCs w:val="22"/>
        </w:rPr>
      </w:pPr>
    </w:p>
    <w:p w14:paraId="27FF6106" w14:textId="77777777" w:rsidR="0077607C" w:rsidRDefault="0077607C" w:rsidP="0077607C">
      <w:pPr>
        <w:spacing w:after="160" w:line="278" w:lineRule="auto"/>
        <w:jc w:val="both"/>
        <w:rPr>
          <w:rFonts w:ascii="Arial" w:eastAsia="Arial" w:hAnsi="Arial" w:cs="Arial"/>
          <w:sz w:val="22"/>
          <w:szCs w:val="22"/>
        </w:rPr>
      </w:pPr>
    </w:p>
    <w:p w14:paraId="0B39DB88" w14:textId="77777777" w:rsidR="0077607C" w:rsidRDefault="0077607C" w:rsidP="0077607C">
      <w:pPr>
        <w:spacing w:after="160" w:line="278" w:lineRule="auto"/>
        <w:jc w:val="both"/>
        <w:rPr>
          <w:rFonts w:ascii="Arial" w:eastAsia="Arial" w:hAnsi="Arial" w:cs="Arial"/>
          <w:b/>
          <w:bCs/>
          <w:color w:val="215E99"/>
          <w:sz w:val="22"/>
          <w:szCs w:val="22"/>
        </w:rPr>
      </w:pPr>
    </w:p>
    <w:p w14:paraId="45A7944C" w14:textId="77777777" w:rsidR="0077607C" w:rsidRDefault="0077607C" w:rsidP="0077607C">
      <w:pPr>
        <w:spacing w:after="160" w:line="278" w:lineRule="auto"/>
        <w:jc w:val="both"/>
        <w:rPr>
          <w:rFonts w:ascii="Arial" w:eastAsia="Arial" w:hAnsi="Arial" w:cs="Arial"/>
          <w:b/>
          <w:bCs/>
          <w:color w:val="215E99"/>
          <w:sz w:val="22"/>
          <w:szCs w:val="22"/>
        </w:rPr>
      </w:pPr>
    </w:p>
    <w:p w14:paraId="48F101AC" w14:textId="77777777" w:rsidR="0077607C" w:rsidRDefault="0077607C" w:rsidP="0077607C">
      <w:pPr>
        <w:spacing w:after="160" w:line="278" w:lineRule="auto"/>
        <w:jc w:val="both"/>
        <w:rPr>
          <w:rFonts w:ascii="Arial" w:eastAsia="Arial" w:hAnsi="Arial" w:cs="Arial"/>
          <w:b/>
          <w:bCs/>
          <w:color w:val="215E99"/>
          <w:sz w:val="22"/>
          <w:szCs w:val="22"/>
        </w:rPr>
      </w:pPr>
    </w:p>
    <w:p w14:paraId="60DA0A0F" w14:textId="77777777" w:rsidR="0077607C" w:rsidRDefault="0077607C" w:rsidP="0077607C">
      <w:pPr>
        <w:spacing w:after="160" w:line="278" w:lineRule="auto"/>
        <w:jc w:val="both"/>
        <w:rPr>
          <w:rFonts w:ascii="Arial" w:eastAsia="Arial" w:hAnsi="Arial" w:cs="Arial"/>
          <w:b/>
          <w:bCs/>
          <w:color w:val="215E99"/>
          <w:sz w:val="22"/>
          <w:szCs w:val="22"/>
        </w:rPr>
      </w:pPr>
    </w:p>
    <w:p w14:paraId="27C0D4D7"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b/>
          <w:bCs/>
          <w:color w:val="215E99"/>
          <w:sz w:val="22"/>
          <w:szCs w:val="22"/>
        </w:rPr>
        <w:t>IDENTIFICATION PHASE</w:t>
      </w:r>
    </w:p>
    <w:p w14:paraId="2BB20B75" w14:textId="77777777" w:rsidR="0077607C" w:rsidRDefault="0077607C" w:rsidP="0077607C">
      <w:pPr>
        <w:spacing w:after="160" w:line="278" w:lineRule="auto"/>
        <w:jc w:val="both"/>
        <w:rPr>
          <w:rFonts w:ascii="Arial" w:eastAsia="Arial" w:hAnsi="Arial" w:cs="Arial"/>
          <w:sz w:val="22"/>
          <w:szCs w:val="22"/>
          <w:u w:val="single"/>
        </w:rPr>
      </w:pPr>
      <w:r>
        <w:rPr>
          <w:rFonts w:ascii="Arial" w:eastAsia="Arial" w:hAnsi="Arial" w:cs="Arial"/>
          <w:sz w:val="22"/>
          <w:szCs w:val="22"/>
        </w:rPr>
        <w:t>If Govern sets the strategy and "rules of the road," Identify provides the map of the environment where those rules are applied. Its core purpose is to develop an organizational understanding of your cybersecurity risk, ensuring you know exactly what you are protecting and why</w:t>
      </w:r>
      <w:r>
        <w:rPr>
          <w:rFonts w:ascii="Arial" w:eastAsia="Arial" w:hAnsi="Arial" w:cs="Arial"/>
          <w:sz w:val="22"/>
          <w:szCs w:val="22"/>
          <w:u w:val="single"/>
        </w:rPr>
        <w:t>.</w:t>
      </w:r>
    </w:p>
    <w:p w14:paraId="686E48B0"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The Three Pillars of Identify</w:t>
      </w:r>
    </w:p>
    <w:p w14:paraId="69E78930"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 xml:space="preserve">While previous versions of the framework included more categories here, CSF 2.0 has streamlined </w:t>
      </w:r>
      <w:r>
        <w:rPr>
          <w:rFonts w:ascii="Arial" w:eastAsia="Arial" w:hAnsi="Arial" w:cs="Arial"/>
          <w:b/>
          <w:bCs/>
          <w:sz w:val="22"/>
          <w:szCs w:val="22"/>
        </w:rPr>
        <w:t>Identify</w:t>
      </w:r>
      <w:r>
        <w:rPr>
          <w:rFonts w:ascii="Arial" w:eastAsia="Arial" w:hAnsi="Arial" w:cs="Arial"/>
          <w:sz w:val="22"/>
          <w:szCs w:val="22"/>
        </w:rPr>
        <w:t xml:space="preserve"> to focus on three essential areas</w:t>
      </w:r>
    </w:p>
    <w:tbl>
      <w:tblPr>
        <w:tblW w:w="9010" w:type="dxa"/>
        <w:tblLayout w:type="fixed"/>
        <w:tblLook w:val="0400" w:firstRow="0" w:lastRow="0" w:firstColumn="0" w:lastColumn="0" w:noHBand="0" w:noVBand="1"/>
      </w:tblPr>
      <w:tblGrid>
        <w:gridCol w:w="2246"/>
        <w:gridCol w:w="2128"/>
        <w:gridCol w:w="4636"/>
      </w:tblGrid>
      <w:tr w:rsidR="0077607C" w14:paraId="116F9721" w14:textId="77777777" w:rsidTr="002B7136">
        <w:trPr>
          <w:tblHeader/>
        </w:trPr>
        <w:tc>
          <w:tcPr>
            <w:tcW w:w="2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86DCF0"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Category</w:t>
            </w:r>
          </w:p>
        </w:tc>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D6CF9C"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Focus</w:t>
            </w:r>
          </w:p>
        </w:tc>
        <w:tc>
          <w:tcPr>
            <w:tcW w:w="4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E76737"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Core Objective</w:t>
            </w:r>
          </w:p>
        </w:tc>
      </w:tr>
      <w:tr w:rsidR="0077607C" w14:paraId="3184A29B" w14:textId="77777777" w:rsidTr="002B7136">
        <w:tc>
          <w:tcPr>
            <w:tcW w:w="2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0580EB"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Asset Management (ID.AM)</w:t>
            </w:r>
          </w:p>
        </w:tc>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2F6620"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Inventory &amp; Classification</w:t>
            </w:r>
          </w:p>
        </w:tc>
        <w:tc>
          <w:tcPr>
            <w:tcW w:w="4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6DC0A6"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Knowing what you have (hardware, software, data, systems, and services) and prioritizing it based on business value.</w:t>
            </w:r>
          </w:p>
        </w:tc>
      </w:tr>
      <w:tr w:rsidR="0077607C" w14:paraId="28538571" w14:textId="77777777" w:rsidTr="002B7136">
        <w:tc>
          <w:tcPr>
            <w:tcW w:w="2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5EE95A"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Risk Assessment (ID.RA)</w:t>
            </w:r>
          </w:p>
        </w:tc>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2B01C0"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Threat &amp; Vulnerability</w:t>
            </w:r>
          </w:p>
        </w:tc>
        <w:tc>
          <w:tcPr>
            <w:tcW w:w="4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EF1DB6"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Understanding the threats to those assets, the potential vulnerabilities, and the likelihood/impact of an incident.</w:t>
            </w:r>
          </w:p>
        </w:tc>
      </w:tr>
      <w:tr w:rsidR="0077607C" w14:paraId="00ED0CD1" w14:textId="77777777" w:rsidTr="002B7136">
        <w:tc>
          <w:tcPr>
            <w:tcW w:w="2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330DFA"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lastRenderedPageBreak/>
              <w:t>Improvement (ID.IM)</w:t>
            </w:r>
          </w:p>
        </w:tc>
        <w:tc>
          <w:tcPr>
            <w:tcW w:w="21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AC060F"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Continuous Growth</w:t>
            </w:r>
          </w:p>
        </w:tc>
        <w:tc>
          <w:tcPr>
            <w:tcW w:w="46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717047"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Learning from your risk management activities to refine your program over time.</w:t>
            </w:r>
          </w:p>
        </w:tc>
      </w:tr>
    </w:tbl>
    <w:p w14:paraId="21116A2C" w14:textId="77777777" w:rsidR="0077607C" w:rsidRDefault="0077607C" w:rsidP="0077607C">
      <w:pPr>
        <w:spacing w:after="160" w:line="278" w:lineRule="auto"/>
        <w:jc w:val="both"/>
        <w:rPr>
          <w:rFonts w:ascii="Arial" w:eastAsia="Arial" w:hAnsi="Arial" w:cs="Arial"/>
          <w:sz w:val="22"/>
          <w:szCs w:val="22"/>
        </w:rPr>
      </w:pPr>
    </w:p>
    <w:p w14:paraId="3422CEF6"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The Core Focus of ID.AM</w:t>
      </w:r>
    </w:p>
    <w:p w14:paraId="366A8274"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The Identify function is the foundation for all subsequent actions (Govern, Protect, Detect, Respond, and Recover). ID.AM ensures that your cybersecurity strategy is based on accurate, real-time knowledge of your environment.</w:t>
      </w:r>
    </w:p>
    <w:tbl>
      <w:tblPr>
        <w:tblW w:w="9010" w:type="dxa"/>
        <w:tblLayout w:type="fixed"/>
        <w:tblLook w:val="0400" w:firstRow="0" w:lastRow="0" w:firstColumn="0" w:lastColumn="0" w:noHBand="0" w:noVBand="1"/>
      </w:tblPr>
      <w:tblGrid>
        <w:gridCol w:w="1806"/>
        <w:gridCol w:w="3220"/>
        <w:gridCol w:w="3984"/>
      </w:tblGrid>
      <w:tr w:rsidR="0077607C" w14:paraId="253C6577" w14:textId="77777777" w:rsidTr="002B7136">
        <w:trPr>
          <w:tblHeader/>
        </w:trPr>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1B7E7C"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Subcategory</w:t>
            </w:r>
          </w:p>
        </w:tc>
        <w:tc>
          <w:tcPr>
            <w:tcW w:w="3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D03137"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Requirement</w:t>
            </w:r>
          </w:p>
        </w:tc>
        <w:tc>
          <w:tcPr>
            <w:tcW w:w="3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FCE079"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Objective</w:t>
            </w:r>
          </w:p>
        </w:tc>
      </w:tr>
      <w:tr w:rsidR="0077607C" w14:paraId="2616DAD9"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0D421A"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ID.AM-01</w:t>
            </w:r>
          </w:p>
        </w:tc>
        <w:tc>
          <w:tcPr>
            <w:tcW w:w="3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AD97F1"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Inventory of computing devices</w:t>
            </w:r>
          </w:p>
        </w:tc>
        <w:tc>
          <w:tcPr>
            <w:tcW w:w="3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AAD0BE"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Know exactly what hardware connects to your network.</w:t>
            </w:r>
          </w:p>
        </w:tc>
      </w:tr>
      <w:tr w:rsidR="0077607C" w14:paraId="2B306BA5"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D677CB"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ID.AM-02</w:t>
            </w:r>
          </w:p>
        </w:tc>
        <w:tc>
          <w:tcPr>
            <w:tcW w:w="3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BE9318"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Inventory of software platforms and applications</w:t>
            </w:r>
          </w:p>
        </w:tc>
        <w:tc>
          <w:tcPr>
            <w:tcW w:w="3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1DCC38"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Understand the software stack, including OS and critical business apps.</w:t>
            </w:r>
          </w:p>
        </w:tc>
      </w:tr>
      <w:tr w:rsidR="0077607C" w14:paraId="24DADD0C"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9E509C"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ID.AM-03</w:t>
            </w:r>
          </w:p>
        </w:tc>
        <w:tc>
          <w:tcPr>
            <w:tcW w:w="3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876F4E"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Inventory of data and information</w:t>
            </w:r>
          </w:p>
        </w:tc>
        <w:tc>
          <w:tcPr>
            <w:tcW w:w="3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C5B5C2"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Classify data based on sensitivity and business value.</w:t>
            </w:r>
          </w:p>
        </w:tc>
      </w:tr>
      <w:tr w:rsidR="0077607C" w14:paraId="1B6F4AE1"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5EDBB7"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ID.AM-04</w:t>
            </w:r>
          </w:p>
        </w:tc>
        <w:tc>
          <w:tcPr>
            <w:tcW w:w="3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1FEAD4"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Inventory of internal and external services</w:t>
            </w:r>
          </w:p>
        </w:tc>
        <w:tc>
          <w:tcPr>
            <w:tcW w:w="3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807758"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Identify dependencies on third-party cloud or managed services.</w:t>
            </w:r>
          </w:p>
        </w:tc>
      </w:tr>
      <w:tr w:rsidR="0077607C" w14:paraId="45BAD89B"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986BDD"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ID.AM-05</w:t>
            </w:r>
          </w:p>
        </w:tc>
        <w:tc>
          <w:tcPr>
            <w:tcW w:w="3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6EB3C2"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Identification of logical and physical dependencies</w:t>
            </w:r>
          </w:p>
        </w:tc>
        <w:tc>
          <w:tcPr>
            <w:tcW w:w="3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F2F557"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Map how assets, services, and data interact to support business functions.</w:t>
            </w:r>
          </w:p>
        </w:tc>
      </w:tr>
      <w:tr w:rsidR="0077607C" w14:paraId="1FCDC178"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148F85"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ID.AM-06</w:t>
            </w:r>
          </w:p>
        </w:tc>
        <w:tc>
          <w:tcPr>
            <w:tcW w:w="3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D2B9A9"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Asset roles and responsibilities</w:t>
            </w:r>
          </w:p>
        </w:tc>
        <w:tc>
          <w:tcPr>
            <w:tcW w:w="3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2941CA"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Define who owns, manages, and is accountable for each asset.</w:t>
            </w:r>
          </w:p>
        </w:tc>
      </w:tr>
    </w:tbl>
    <w:p w14:paraId="3383DF54" w14:textId="77777777" w:rsidR="0077607C" w:rsidRDefault="0077607C" w:rsidP="0077607C">
      <w:pPr>
        <w:spacing w:after="160" w:line="278" w:lineRule="auto"/>
        <w:jc w:val="both"/>
        <w:rPr>
          <w:rFonts w:ascii="Arial" w:eastAsia="Arial" w:hAnsi="Arial" w:cs="Arial"/>
          <w:sz w:val="22"/>
          <w:szCs w:val="22"/>
        </w:rPr>
      </w:pPr>
    </w:p>
    <w:p w14:paraId="651B5EF9"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noProof/>
          <w:sz w:val="22"/>
          <w:szCs w:val="22"/>
        </w:rPr>
        <w:lastRenderedPageBreak/>
        <w:drawing>
          <wp:inline distT="0" distB="0" distL="0" distR="0" wp14:anchorId="4DC71ADF" wp14:editId="6A5EC9A8">
            <wp:extent cx="5730240" cy="3124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0240" cy="3124200"/>
                    </a:xfrm>
                    <a:prstGeom prst="rect">
                      <a:avLst/>
                    </a:prstGeom>
                    <a:ln/>
                  </pic:spPr>
                </pic:pic>
              </a:graphicData>
            </a:graphic>
          </wp:inline>
        </w:drawing>
      </w:r>
    </w:p>
    <w:p w14:paraId="66175EE8" w14:textId="77777777" w:rsidR="0077607C" w:rsidRDefault="0077607C" w:rsidP="0077607C">
      <w:pPr>
        <w:spacing w:after="160" w:line="278" w:lineRule="auto"/>
        <w:jc w:val="both"/>
        <w:rPr>
          <w:rFonts w:ascii="Arial" w:eastAsia="Arial" w:hAnsi="Arial" w:cs="Arial"/>
          <w:b/>
          <w:bCs/>
          <w:sz w:val="22"/>
          <w:szCs w:val="22"/>
          <w:u w:val="single"/>
        </w:rPr>
      </w:pPr>
    </w:p>
    <w:p w14:paraId="29A0CC10"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Integrating with Other Functions</w:t>
      </w:r>
    </w:p>
    <w:p w14:paraId="18C15D3A"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Asset Management is not an isolated activity; it feeds the rest of the NIST framework:</w:t>
      </w:r>
    </w:p>
    <w:p w14:paraId="4D2244A0" w14:textId="77777777" w:rsidR="0077607C" w:rsidRDefault="0077607C" w:rsidP="0077607C">
      <w:pPr>
        <w:numPr>
          <w:ilvl w:val="0"/>
          <w:numId w:val="9"/>
        </w:numPr>
        <w:spacing w:after="160" w:line="278" w:lineRule="auto"/>
        <w:jc w:val="both"/>
        <w:rPr>
          <w:rFonts w:ascii="Noto Sans Symbols" w:eastAsia="Noto Sans Symbols" w:hAnsi="Noto Sans Symbols" w:cs="Noto Sans Symbols"/>
          <w:sz w:val="22"/>
          <w:szCs w:val="22"/>
        </w:rPr>
      </w:pPr>
      <w:r>
        <w:rPr>
          <w:rFonts w:ascii="Arial" w:eastAsia="Arial" w:hAnsi="Arial" w:cs="Arial"/>
          <w:b/>
          <w:bCs/>
          <w:sz w:val="22"/>
          <w:szCs w:val="22"/>
        </w:rPr>
        <w:t>Govern:</w:t>
      </w:r>
      <w:r>
        <w:rPr>
          <w:rFonts w:ascii="Arial" w:eastAsia="Arial" w:hAnsi="Arial" w:cs="Arial"/>
          <w:sz w:val="22"/>
          <w:szCs w:val="22"/>
        </w:rPr>
        <w:t xml:space="preserve"> Your risk appetite and tolerance are applied to specific asset classes (e.g., higher tolerance for non-critical assets; zero tolerance for critical customer data repositories).</w:t>
      </w:r>
    </w:p>
    <w:p w14:paraId="36AF7DB3" w14:textId="77777777" w:rsidR="0077607C" w:rsidRDefault="0077607C" w:rsidP="0077607C">
      <w:pPr>
        <w:numPr>
          <w:ilvl w:val="0"/>
          <w:numId w:val="9"/>
        </w:numPr>
        <w:spacing w:after="160" w:line="278" w:lineRule="auto"/>
        <w:jc w:val="both"/>
        <w:rPr>
          <w:rFonts w:ascii="Noto Sans Symbols" w:eastAsia="Noto Sans Symbols" w:hAnsi="Noto Sans Symbols" w:cs="Noto Sans Symbols"/>
          <w:sz w:val="22"/>
          <w:szCs w:val="22"/>
        </w:rPr>
      </w:pPr>
      <w:r>
        <w:rPr>
          <w:rFonts w:ascii="Arial" w:eastAsia="Arial" w:hAnsi="Arial" w:cs="Arial"/>
          <w:b/>
          <w:bCs/>
          <w:sz w:val="22"/>
          <w:szCs w:val="22"/>
        </w:rPr>
        <w:t>Protect:</w:t>
      </w:r>
      <w:r>
        <w:rPr>
          <w:rFonts w:ascii="Arial" w:eastAsia="Arial" w:hAnsi="Arial" w:cs="Arial"/>
          <w:sz w:val="22"/>
          <w:szCs w:val="22"/>
        </w:rPr>
        <w:t xml:space="preserve"> You cannot apply the correct safeguards (e.g., MFA, encryption) without knowing the type and sensitivity of the asset.</w:t>
      </w:r>
    </w:p>
    <w:p w14:paraId="05761220" w14:textId="77777777" w:rsidR="0077607C" w:rsidRDefault="0077607C" w:rsidP="0077607C">
      <w:pPr>
        <w:numPr>
          <w:ilvl w:val="0"/>
          <w:numId w:val="9"/>
        </w:numPr>
        <w:spacing w:after="160" w:line="278" w:lineRule="auto"/>
        <w:jc w:val="both"/>
        <w:rPr>
          <w:rFonts w:ascii="Noto Sans Symbols" w:eastAsia="Noto Sans Symbols" w:hAnsi="Noto Sans Symbols" w:cs="Noto Sans Symbols"/>
          <w:sz w:val="22"/>
          <w:szCs w:val="22"/>
        </w:rPr>
      </w:pPr>
      <w:r>
        <w:rPr>
          <w:rFonts w:ascii="Arial" w:eastAsia="Arial" w:hAnsi="Arial" w:cs="Arial"/>
          <w:b/>
          <w:bCs/>
          <w:sz w:val="22"/>
          <w:szCs w:val="22"/>
        </w:rPr>
        <w:t>Recover:</w:t>
      </w:r>
      <w:r>
        <w:rPr>
          <w:rFonts w:ascii="Arial" w:eastAsia="Arial" w:hAnsi="Arial" w:cs="Arial"/>
          <w:sz w:val="22"/>
          <w:szCs w:val="22"/>
        </w:rPr>
        <w:t xml:space="preserve"> During a recovery, the priority is determined by the criticality levels established in the Asset Management phase.</w:t>
      </w:r>
    </w:p>
    <w:p w14:paraId="1DA1FDCA" w14:textId="77777777" w:rsidR="0077607C" w:rsidRDefault="0077607C" w:rsidP="0077607C">
      <w:pPr>
        <w:spacing w:after="160" w:line="278" w:lineRule="auto"/>
        <w:jc w:val="both"/>
        <w:rPr>
          <w:rFonts w:ascii="Arial" w:eastAsia="Arial" w:hAnsi="Arial" w:cs="Arial"/>
          <w:sz w:val="22"/>
          <w:szCs w:val="22"/>
        </w:rPr>
      </w:pPr>
    </w:p>
    <w:p w14:paraId="6A91EFA5"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 xml:space="preserve">            </w:t>
      </w:r>
      <w:r>
        <w:rPr>
          <w:rFonts w:ascii="Arial" w:eastAsia="Arial" w:hAnsi="Arial" w:cs="Arial"/>
          <w:b/>
          <w:bCs/>
          <w:sz w:val="22"/>
          <w:szCs w:val="22"/>
        </w:rPr>
        <w:t>Risk Assessment (ID.RA)</w:t>
      </w:r>
    </w:p>
    <w:p w14:paraId="7BA36ECB"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b/>
          <w:bCs/>
          <w:sz w:val="22"/>
          <w:szCs w:val="22"/>
        </w:rPr>
        <w:t>The Core Focus of ID.RA</w:t>
      </w:r>
    </w:p>
    <w:p w14:paraId="47DE6A7D" w14:textId="77777777" w:rsidR="0077607C" w:rsidRDefault="0077607C" w:rsidP="0077607C">
      <w:pPr>
        <w:spacing w:after="160" w:line="278" w:lineRule="auto"/>
        <w:ind w:left="720"/>
        <w:jc w:val="both"/>
        <w:rPr>
          <w:rFonts w:ascii="Arial" w:eastAsia="Arial" w:hAnsi="Arial" w:cs="Arial"/>
          <w:sz w:val="22"/>
          <w:szCs w:val="22"/>
        </w:rPr>
      </w:pPr>
      <w:r>
        <w:rPr>
          <w:rFonts w:ascii="Arial" w:eastAsia="Arial" w:hAnsi="Arial" w:cs="Arial"/>
          <w:sz w:val="22"/>
          <w:szCs w:val="22"/>
        </w:rPr>
        <w:t xml:space="preserve">The primary goal of ID.RA is to move from a list of assets to an understanding of </w:t>
      </w:r>
      <w:r>
        <w:rPr>
          <w:rFonts w:ascii="Arial" w:eastAsia="Arial" w:hAnsi="Arial" w:cs="Arial"/>
          <w:b/>
          <w:bCs/>
          <w:sz w:val="22"/>
          <w:szCs w:val="22"/>
        </w:rPr>
        <w:t>cybersecurity risk</w:t>
      </w:r>
      <w:r>
        <w:rPr>
          <w:rFonts w:ascii="Arial" w:eastAsia="Arial" w:hAnsi="Arial" w:cs="Arial"/>
          <w:sz w:val="22"/>
          <w:szCs w:val="22"/>
        </w:rPr>
        <w:t xml:space="preserve"> to operations, assets, and individuals. It translates technical data into business-relevant insights. </w:t>
      </w:r>
    </w:p>
    <w:tbl>
      <w:tblPr>
        <w:tblW w:w="9010" w:type="dxa"/>
        <w:tblLayout w:type="fixed"/>
        <w:tblLook w:val="0400" w:firstRow="0" w:lastRow="0" w:firstColumn="0" w:lastColumn="0" w:noHBand="0" w:noVBand="1"/>
      </w:tblPr>
      <w:tblGrid>
        <w:gridCol w:w="1806"/>
        <w:gridCol w:w="2558"/>
        <w:gridCol w:w="4646"/>
      </w:tblGrid>
      <w:tr w:rsidR="0077607C" w14:paraId="3D17435A" w14:textId="77777777" w:rsidTr="002B7136">
        <w:trPr>
          <w:tblHeader/>
        </w:trPr>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A82A48"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Subcategory</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6AE312"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Focus</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961E59"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Key Activity</w:t>
            </w:r>
          </w:p>
        </w:tc>
      </w:tr>
      <w:tr w:rsidR="0077607C" w14:paraId="62746832"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7FB9AC"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ID.RA-01</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02DD7D"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Vulnerabilities</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F7F4BB"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Identify, validate, and record weaknesses in assets.</w:t>
            </w:r>
          </w:p>
        </w:tc>
      </w:tr>
      <w:tr w:rsidR="0077607C" w14:paraId="4702F58E"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CE4432"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lastRenderedPageBreak/>
              <w:t>ID.RA-02</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1AF992"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Threat Intelligence</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E533D9"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Receive and integrate external threat data (TTPs, actors).</w:t>
            </w:r>
          </w:p>
        </w:tc>
      </w:tr>
      <w:tr w:rsidR="0077607C" w14:paraId="7018AE8C"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932DD0"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ID.RA-03</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516D9D"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Threats</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E6ECD7"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Record both internal and external threats.</w:t>
            </w:r>
          </w:p>
        </w:tc>
      </w:tr>
      <w:tr w:rsidR="0077607C" w14:paraId="6BE42BF6"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ED24C6"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ID.RA-04</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A8B0B3"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Impact &amp; Likelihood</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8F84BE"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Analyze the probability of exploitation and business impact.</w:t>
            </w:r>
          </w:p>
        </w:tc>
      </w:tr>
      <w:tr w:rsidR="0077607C" w14:paraId="330D788C"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776C63"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ID.RA-05</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85DAB9"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Inherent Risk</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24ACFE"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Determine risk level to inform prioritization.</w:t>
            </w:r>
          </w:p>
        </w:tc>
      </w:tr>
      <w:tr w:rsidR="0077607C" w14:paraId="1E559C5A"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D65878"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ID.RA-06</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0CC39F"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Risk Response</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B95DEF"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Choose, plan, and track the remediation strategy.</w:t>
            </w:r>
          </w:p>
        </w:tc>
      </w:tr>
      <w:tr w:rsidR="0077607C" w14:paraId="0F09F3DB"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5BEC34"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ID.RA-07</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8179FB"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Change Management</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316C05"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Assess risk impact of configuration changes or exceptions.</w:t>
            </w:r>
          </w:p>
        </w:tc>
      </w:tr>
      <w:tr w:rsidR="0077607C" w14:paraId="14855E90"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DCCB97"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ID.RA-08</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7B07B8"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Vulnerability Disclosure</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E3E998"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Establish processes to handle external vulnerability reports.</w:t>
            </w:r>
          </w:p>
        </w:tc>
      </w:tr>
      <w:tr w:rsidR="0077607C" w14:paraId="2925A39B"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8974D5"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ID.RA-09</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53E3E6"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Acquisition Integrity</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5AC434"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Verify hardware/software integrity before use.</w:t>
            </w:r>
          </w:p>
        </w:tc>
      </w:tr>
      <w:tr w:rsidR="0077607C" w14:paraId="13D903C0" w14:textId="77777777" w:rsidTr="002B7136">
        <w:tc>
          <w:tcPr>
            <w:tcW w:w="1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024B4D"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ID.RA-10</w:t>
            </w:r>
          </w:p>
        </w:tc>
        <w:tc>
          <w:tcPr>
            <w:tcW w:w="25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0F8239"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b/>
                <w:bCs/>
                <w:sz w:val="22"/>
                <w:szCs w:val="22"/>
              </w:rPr>
              <w:t>Supplier Assessment</w:t>
            </w:r>
          </w:p>
        </w:tc>
        <w:tc>
          <w:tcPr>
            <w:tcW w:w="46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36F7D" w14:textId="77777777" w:rsidR="0077607C" w:rsidRDefault="0077607C" w:rsidP="002B7136">
            <w:pPr>
              <w:spacing w:after="160" w:line="278" w:lineRule="auto"/>
              <w:jc w:val="both"/>
              <w:rPr>
                <w:rFonts w:ascii="Arial" w:eastAsia="Arial" w:hAnsi="Arial" w:cs="Arial"/>
                <w:sz w:val="22"/>
                <w:szCs w:val="22"/>
              </w:rPr>
            </w:pPr>
            <w:r>
              <w:rPr>
                <w:rFonts w:ascii="Arial" w:eastAsia="Arial" w:hAnsi="Arial" w:cs="Arial"/>
                <w:sz w:val="22"/>
                <w:szCs w:val="22"/>
              </w:rPr>
              <w:t>Assess critical suppliers prior to engagement.</w:t>
            </w:r>
          </w:p>
        </w:tc>
      </w:tr>
    </w:tbl>
    <w:p w14:paraId="0771A177" w14:textId="77777777" w:rsidR="0077607C" w:rsidRDefault="0077607C" w:rsidP="0077607C">
      <w:pPr>
        <w:spacing w:after="160" w:line="278" w:lineRule="auto"/>
        <w:jc w:val="both"/>
        <w:rPr>
          <w:rFonts w:ascii="Arial" w:eastAsia="Arial" w:hAnsi="Arial" w:cs="Arial"/>
          <w:sz w:val="22"/>
          <w:szCs w:val="22"/>
          <w:u w:val="single"/>
        </w:rPr>
      </w:pPr>
    </w:p>
    <w:p w14:paraId="2D4BF500"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The "Risk Triangle": AM, RA, and RM</w:t>
      </w:r>
    </w:p>
    <w:p w14:paraId="5602BF44"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To implement ID.RA effectively, it must be tightly coupled with the other functions you’ve been focusing on:</w:t>
      </w:r>
    </w:p>
    <w:p w14:paraId="42706B5F" w14:textId="77777777" w:rsidR="0077607C" w:rsidRDefault="0077607C" w:rsidP="0077607C">
      <w:pPr>
        <w:numPr>
          <w:ilvl w:val="0"/>
          <w:numId w:val="10"/>
        </w:numPr>
        <w:spacing w:after="160" w:line="278" w:lineRule="auto"/>
        <w:jc w:val="both"/>
        <w:rPr>
          <w:rFonts w:ascii="Aptos" w:eastAsia="Aptos" w:hAnsi="Aptos" w:cs="Aptos"/>
          <w:sz w:val="22"/>
          <w:szCs w:val="22"/>
        </w:rPr>
      </w:pPr>
      <w:r>
        <w:rPr>
          <w:rFonts w:ascii="Arial" w:eastAsia="Arial" w:hAnsi="Arial" w:cs="Arial"/>
          <w:b/>
          <w:bCs/>
          <w:sz w:val="22"/>
          <w:szCs w:val="22"/>
        </w:rPr>
        <w:t>ID.AM (Asset Management):</w:t>
      </w:r>
      <w:r>
        <w:rPr>
          <w:rFonts w:ascii="Arial" w:eastAsia="Arial" w:hAnsi="Arial" w:cs="Arial"/>
          <w:sz w:val="22"/>
          <w:szCs w:val="22"/>
        </w:rPr>
        <w:t xml:space="preserve"> Provides the "subject" of the assessment. You assess risks </w:t>
      </w:r>
      <w:r>
        <w:rPr>
          <w:rFonts w:ascii="Arial" w:eastAsia="Arial" w:hAnsi="Arial" w:cs="Arial"/>
          <w:i/>
          <w:iCs/>
          <w:sz w:val="22"/>
          <w:szCs w:val="22"/>
        </w:rPr>
        <w:t>to</w:t>
      </w:r>
      <w:r>
        <w:rPr>
          <w:rFonts w:ascii="Arial" w:eastAsia="Arial" w:hAnsi="Arial" w:cs="Arial"/>
          <w:sz w:val="22"/>
          <w:szCs w:val="22"/>
        </w:rPr>
        <w:t xml:space="preserve"> the assets identified in your inventory. </w:t>
      </w:r>
    </w:p>
    <w:p w14:paraId="6DD3E2EA" w14:textId="77777777" w:rsidR="0077607C" w:rsidRDefault="0077607C" w:rsidP="0077607C">
      <w:pPr>
        <w:numPr>
          <w:ilvl w:val="0"/>
          <w:numId w:val="10"/>
        </w:numPr>
        <w:spacing w:after="160" w:line="278" w:lineRule="auto"/>
        <w:jc w:val="both"/>
        <w:rPr>
          <w:rFonts w:ascii="Aptos" w:eastAsia="Aptos" w:hAnsi="Aptos" w:cs="Aptos"/>
          <w:sz w:val="22"/>
          <w:szCs w:val="22"/>
        </w:rPr>
      </w:pPr>
      <w:r>
        <w:rPr>
          <w:rFonts w:ascii="Arial" w:eastAsia="Arial" w:hAnsi="Arial" w:cs="Arial"/>
          <w:b/>
          <w:bCs/>
          <w:sz w:val="22"/>
          <w:szCs w:val="22"/>
        </w:rPr>
        <w:t>ID.RA (Risk Assessment):</w:t>
      </w:r>
      <w:r>
        <w:rPr>
          <w:rFonts w:ascii="Arial" w:eastAsia="Arial" w:hAnsi="Arial" w:cs="Arial"/>
          <w:sz w:val="22"/>
          <w:szCs w:val="22"/>
        </w:rPr>
        <w:t xml:space="preserve"> Provides the "verdict." It calculates the impact and likelihood of a threat exploiting a vulnerability on those assets. </w:t>
      </w:r>
    </w:p>
    <w:p w14:paraId="74B52F2E" w14:textId="77777777" w:rsidR="0077607C" w:rsidRDefault="0077607C" w:rsidP="0077607C">
      <w:pPr>
        <w:numPr>
          <w:ilvl w:val="0"/>
          <w:numId w:val="10"/>
        </w:numPr>
        <w:spacing w:after="160" w:line="278" w:lineRule="auto"/>
        <w:jc w:val="both"/>
        <w:rPr>
          <w:rFonts w:ascii="Aptos" w:eastAsia="Aptos" w:hAnsi="Aptos" w:cs="Aptos"/>
          <w:sz w:val="22"/>
          <w:szCs w:val="22"/>
        </w:rPr>
      </w:pPr>
      <w:r>
        <w:rPr>
          <w:rFonts w:ascii="Arial" w:eastAsia="Arial" w:hAnsi="Arial" w:cs="Arial"/>
          <w:b/>
          <w:bCs/>
          <w:sz w:val="22"/>
          <w:szCs w:val="22"/>
        </w:rPr>
        <w:t>GV.RM (Risk Management Strategy):</w:t>
      </w:r>
      <w:r>
        <w:rPr>
          <w:rFonts w:ascii="Arial" w:eastAsia="Arial" w:hAnsi="Arial" w:cs="Arial"/>
          <w:sz w:val="22"/>
          <w:szCs w:val="22"/>
        </w:rPr>
        <w:t xml:space="preserve"> Provides the "threshold." Your </w:t>
      </w:r>
      <w:r>
        <w:rPr>
          <w:rFonts w:ascii="Arial" w:eastAsia="Arial" w:hAnsi="Arial" w:cs="Arial"/>
          <w:b/>
          <w:bCs/>
          <w:sz w:val="22"/>
          <w:szCs w:val="22"/>
        </w:rPr>
        <w:t>Risk Tolerance</w:t>
      </w:r>
      <w:r>
        <w:rPr>
          <w:rFonts w:ascii="Arial" w:eastAsia="Arial" w:hAnsi="Arial" w:cs="Arial"/>
          <w:sz w:val="22"/>
          <w:szCs w:val="22"/>
        </w:rPr>
        <w:t xml:space="preserve"> (from the Govern function) is the benchmark used in ID.RA-06 to decide whether to </w:t>
      </w:r>
      <w:r>
        <w:rPr>
          <w:rFonts w:ascii="Arial" w:eastAsia="Arial" w:hAnsi="Arial" w:cs="Arial"/>
          <w:i/>
          <w:iCs/>
          <w:sz w:val="22"/>
          <w:szCs w:val="22"/>
        </w:rPr>
        <w:t>Accept, Mitigate, Transfer, or Avoid</w:t>
      </w:r>
      <w:r>
        <w:rPr>
          <w:rFonts w:ascii="Arial" w:eastAsia="Arial" w:hAnsi="Arial" w:cs="Arial"/>
          <w:sz w:val="22"/>
          <w:szCs w:val="22"/>
        </w:rPr>
        <w:t xml:space="preserve"> the risk.</w:t>
      </w:r>
    </w:p>
    <w:p w14:paraId="65DFE16F" w14:textId="77777777" w:rsidR="0077607C" w:rsidRDefault="0077607C" w:rsidP="0077607C">
      <w:pPr>
        <w:spacing w:after="160" w:line="278" w:lineRule="auto"/>
        <w:ind w:left="720"/>
        <w:jc w:val="both"/>
        <w:rPr>
          <w:rFonts w:ascii="Arial" w:eastAsia="Arial" w:hAnsi="Arial" w:cs="Arial"/>
          <w:sz w:val="22"/>
          <w:szCs w:val="22"/>
          <w:u w:val="single"/>
        </w:rPr>
      </w:pPr>
    </w:p>
    <w:p w14:paraId="58D8448D"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noProof/>
          <w:sz w:val="22"/>
          <w:szCs w:val="22"/>
          <w:u w:val="single"/>
        </w:rPr>
        <w:lastRenderedPageBreak/>
        <w:drawing>
          <wp:inline distT="0" distB="0" distL="0" distR="0" wp14:anchorId="516B1A68" wp14:editId="14E0E299">
            <wp:extent cx="6172200" cy="360426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6172200" cy="3604260"/>
                    </a:xfrm>
                    <a:prstGeom prst="rect">
                      <a:avLst/>
                    </a:prstGeom>
                    <a:ln/>
                  </pic:spPr>
                </pic:pic>
              </a:graphicData>
            </a:graphic>
          </wp:inline>
        </w:drawing>
      </w:r>
    </w:p>
    <w:p w14:paraId="7BCABE45"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Improvement (ID.IM)</w:t>
      </w:r>
    </w:p>
    <w:p w14:paraId="2BF2503C"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The primary outcome of ID.IM is the continuous refinement of the organization’s cybersecurity program. It transitions the organization from a static security model to one of continuous improvement, ensuring that past experiences (both internal successes/failures and external industry trends) are actively used to strengthen defenses.</w:t>
      </w:r>
    </w:p>
    <w:p w14:paraId="09FCC852" w14:textId="77777777" w:rsidR="0077607C" w:rsidRDefault="0077607C" w:rsidP="0077607C">
      <w:pPr>
        <w:spacing w:after="160" w:line="278" w:lineRule="auto"/>
        <w:jc w:val="both"/>
        <w:rPr>
          <w:rFonts w:ascii="Arial" w:eastAsia="Arial" w:hAnsi="Arial" w:cs="Arial"/>
          <w:sz w:val="22"/>
          <w:szCs w:val="22"/>
        </w:rPr>
      </w:pPr>
    </w:p>
    <w:p w14:paraId="419D9FF2"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Key Subcategories of ID.IM</w:t>
      </w:r>
    </w:p>
    <w:p w14:paraId="570DDC8E" w14:textId="77777777" w:rsidR="0077607C" w:rsidRDefault="0077607C" w:rsidP="0077607C">
      <w:pPr>
        <w:spacing w:after="160" w:line="278" w:lineRule="auto"/>
        <w:jc w:val="both"/>
        <w:rPr>
          <w:rFonts w:ascii="Arial" w:eastAsia="Arial" w:hAnsi="Arial" w:cs="Arial"/>
          <w:sz w:val="22"/>
          <w:szCs w:val="22"/>
        </w:rPr>
      </w:pPr>
      <w:r>
        <w:rPr>
          <w:rFonts w:ascii="Arial" w:eastAsia="Arial" w:hAnsi="Arial" w:cs="Arial"/>
          <w:sz w:val="22"/>
          <w:szCs w:val="22"/>
        </w:rPr>
        <w:t>The Improvement category focuses on formalizing the process of learning and adapting:</w:t>
      </w:r>
    </w:p>
    <w:p w14:paraId="49D32507" w14:textId="77777777" w:rsidR="0077607C" w:rsidRDefault="0077607C" w:rsidP="0077607C">
      <w:pPr>
        <w:numPr>
          <w:ilvl w:val="0"/>
          <w:numId w:val="4"/>
        </w:numPr>
        <w:spacing w:after="160" w:line="278" w:lineRule="auto"/>
        <w:jc w:val="both"/>
        <w:rPr>
          <w:rFonts w:ascii="Arial" w:eastAsia="Arial" w:hAnsi="Arial" w:cs="Arial"/>
          <w:sz w:val="22"/>
          <w:szCs w:val="22"/>
        </w:rPr>
      </w:pPr>
      <w:r>
        <w:rPr>
          <w:rFonts w:ascii="Arial" w:eastAsia="Arial" w:hAnsi="Arial" w:cs="Arial"/>
          <w:sz w:val="22"/>
          <w:szCs w:val="22"/>
        </w:rPr>
        <w:t>ID.IM-01: Improvement Planning: The organization communicates and implements improvements based on the results of previous activities and assessments. This ensures that findings from audits, exercises, and real-world incidents are not ignored but are turned into actionable projects.</w:t>
      </w:r>
    </w:p>
    <w:p w14:paraId="44405788" w14:textId="77777777" w:rsidR="0077607C" w:rsidRDefault="0077607C" w:rsidP="0077607C">
      <w:pPr>
        <w:numPr>
          <w:ilvl w:val="0"/>
          <w:numId w:val="4"/>
        </w:numPr>
        <w:spacing w:after="160" w:line="278" w:lineRule="auto"/>
        <w:jc w:val="both"/>
        <w:rPr>
          <w:rFonts w:ascii="Arial" w:eastAsia="Arial" w:hAnsi="Arial" w:cs="Arial"/>
          <w:sz w:val="22"/>
          <w:szCs w:val="22"/>
        </w:rPr>
      </w:pPr>
      <w:r>
        <w:rPr>
          <w:rFonts w:ascii="Arial" w:eastAsia="Arial" w:hAnsi="Arial" w:cs="Arial"/>
          <w:sz w:val="22"/>
          <w:szCs w:val="22"/>
        </w:rPr>
        <w:t xml:space="preserve">ID.IM-02: Lessons Learned: The organization </w:t>
      </w:r>
      <w:proofErr w:type="gramStart"/>
      <w:r>
        <w:rPr>
          <w:rFonts w:ascii="Arial" w:eastAsia="Arial" w:hAnsi="Arial" w:cs="Arial"/>
          <w:sz w:val="22"/>
          <w:szCs w:val="22"/>
        </w:rPr>
        <w:t>identifies</w:t>
      </w:r>
      <w:proofErr w:type="gramEnd"/>
      <w:r>
        <w:rPr>
          <w:rFonts w:ascii="Arial" w:eastAsia="Arial" w:hAnsi="Arial" w:cs="Arial"/>
          <w:sz w:val="22"/>
          <w:szCs w:val="22"/>
        </w:rPr>
        <w:t xml:space="preserve"> and documents lessons learned from internal and external activities, including cybersecurity incidents, to improve the cybersecurity program.</w:t>
      </w:r>
    </w:p>
    <w:p w14:paraId="736ADC03" w14:textId="77777777" w:rsidR="0077607C" w:rsidRDefault="0077607C" w:rsidP="0077607C">
      <w:pPr>
        <w:numPr>
          <w:ilvl w:val="1"/>
          <w:numId w:val="4"/>
        </w:numPr>
        <w:spacing w:after="160" w:line="278" w:lineRule="auto"/>
        <w:jc w:val="both"/>
        <w:rPr>
          <w:rFonts w:ascii="Arial" w:eastAsia="Arial" w:hAnsi="Arial" w:cs="Arial"/>
          <w:sz w:val="22"/>
          <w:szCs w:val="22"/>
        </w:rPr>
      </w:pPr>
      <w:r>
        <w:rPr>
          <w:rFonts w:ascii="Arial" w:eastAsia="Arial" w:hAnsi="Arial" w:cs="Arial"/>
          <w:i/>
          <w:iCs/>
          <w:sz w:val="22"/>
          <w:szCs w:val="22"/>
        </w:rPr>
        <w:lastRenderedPageBreak/>
        <w:t>Note:</w:t>
      </w:r>
      <w:r>
        <w:rPr>
          <w:rFonts w:ascii="Arial" w:eastAsia="Arial" w:hAnsi="Arial" w:cs="Arial"/>
          <w:sz w:val="22"/>
          <w:szCs w:val="22"/>
        </w:rPr>
        <w:t xml:space="preserve"> This is where the post-incident analysis from the Recover function feeds back into the Identify function.</w:t>
      </w:r>
      <w:r>
        <w:rPr>
          <w:noProof/>
        </w:rPr>
        <w:drawing>
          <wp:anchor distT="0" distB="0" distL="114300" distR="114300" simplePos="0" relativeHeight="251661312" behindDoc="0" locked="0" layoutInCell="1" hidden="0" allowOverlap="1" wp14:anchorId="1261C0C1" wp14:editId="4B2C764B">
            <wp:simplePos x="0" y="0"/>
            <wp:positionH relativeFrom="column">
              <wp:posOffset>1</wp:posOffset>
            </wp:positionH>
            <wp:positionV relativeFrom="paragraph">
              <wp:posOffset>577850</wp:posOffset>
            </wp:positionV>
            <wp:extent cx="6034088" cy="3533775"/>
            <wp:effectExtent l="0" t="0" r="0" b="0"/>
            <wp:wrapSquare wrapText="bothSides" distT="0" distB="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034088" cy="3533775"/>
                    </a:xfrm>
                    <a:prstGeom prst="rect">
                      <a:avLst/>
                    </a:prstGeom>
                    <a:ln/>
                  </pic:spPr>
                </pic:pic>
              </a:graphicData>
            </a:graphic>
          </wp:anchor>
        </w:drawing>
      </w:r>
    </w:p>
    <w:p w14:paraId="65875699" w14:textId="77777777" w:rsidR="0077607C" w:rsidRDefault="0077607C" w:rsidP="0077607C">
      <w:pPr>
        <w:spacing w:after="160" w:line="278" w:lineRule="auto"/>
        <w:jc w:val="both"/>
        <w:rPr>
          <w:rFonts w:ascii="Arial" w:eastAsia="Arial" w:hAnsi="Arial" w:cs="Arial"/>
          <w:b/>
          <w:bCs/>
          <w:sz w:val="22"/>
          <w:szCs w:val="22"/>
        </w:rPr>
      </w:pPr>
    </w:p>
    <w:p w14:paraId="141220FF" w14:textId="77777777" w:rsidR="0077607C" w:rsidRDefault="0077607C" w:rsidP="0077607C">
      <w:pPr>
        <w:spacing w:after="160" w:line="278" w:lineRule="auto"/>
        <w:jc w:val="both"/>
        <w:rPr>
          <w:rFonts w:ascii="Arial" w:eastAsia="Arial" w:hAnsi="Arial" w:cs="Arial"/>
          <w:b/>
          <w:bCs/>
          <w:sz w:val="22"/>
          <w:szCs w:val="22"/>
          <w:u w:val="single"/>
        </w:rPr>
      </w:pPr>
    </w:p>
    <w:p w14:paraId="1688A251" w14:textId="77777777" w:rsidR="0077607C" w:rsidRDefault="0077607C" w:rsidP="0077607C">
      <w:pPr>
        <w:spacing w:after="160" w:line="278" w:lineRule="auto"/>
        <w:jc w:val="both"/>
        <w:rPr>
          <w:rFonts w:ascii="Arial" w:eastAsia="Arial" w:hAnsi="Arial" w:cs="Arial"/>
          <w:sz w:val="22"/>
          <w:szCs w:val="22"/>
          <w:u w:val="single"/>
        </w:rPr>
      </w:pPr>
      <w:r>
        <w:rPr>
          <w:rFonts w:ascii="Arial" w:eastAsia="Arial" w:hAnsi="Arial" w:cs="Arial"/>
          <w:b/>
          <w:bCs/>
          <w:sz w:val="22"/>
          <w:szCs w:val="22"/>
        </w:rPr>
        <w:t xml:space="preserve">                                                                          </w:t>
      </w:r>
      <w:r>
        <w:rPr>
          <w:rFonts w:ascii="Arial" w:eastAsia="Arial" w:hAnsi="Arial" w:cs="Arial"/>
          <w:b/>
          <w:bCs/>
          <w:color w:val="0F9ED5"/>
          <w:sz w:val="22"/>
          <w:szCs w:val="22"/>
        </w:rPr>
        <w:t xml:space="preserve"> </w:t>
      </w:r>
    </w:p>
    <w:p w14:paraId="12C7C270" w14:textId="77777777" w:rsidR="0077607C" w:rsidRDefault="0077607C" w:rsidP="0077607C">
      <w:pPr>
        <w:spacing w:after="160" w:line="278" w:lineRule="auto"/>
        <w:jc w:val="both"/>
        <w:rPr>
          <w:rFonts w:ascii="Arial" w:eastAsia="Arial" w:hAnsi="Arial" w:cs="Arial"/>
          <w:sz w:val="22"/>
          <w:szCs w:val="22"/>
        </w:rPr>
      </w:pPr>
    </w:p>
    <w:p w14:paraId="147B0155" w14:textId="77777777" w:rsidR="0077607C" w:rsidRDefault="0077607C" w:rsidP="0077607C">
      <w:pPr>
        <w:spacing w:after="160" w:line="278" w:lineRule="auto"/>
        <w:jc w:val="both"/>
        <w:rPr>
          <w:rFonts w:ascii="Arial" w:eastAsia="Arial" w:hAnsi="Arial" w:cs="Arial"/>
          <w:b/>
          <w:bCs/>
          <w:sz w:val="22"/>
          <w:szCs w:val="22"/>
          <w:u w:val="single"/>
        </w:rPr>
      </w:pPr>
    </w:p>
    <w:p w14:paraId="4DEEC7A9" w14:textId="77777777" w:rsidR="0077607C" w:rsidRDefault="0077607C" w:rsidP="0077607C">
      <w:pPr>
        <w:spacing w:after="160" w:line="278" w:lineRule="auto"/>
        <w:jc w:val="both"/>
        <w:rPr>
          <w:rFonts w:ascii="Arial" w:eastAsia="Arial" w:hAnsi="Arial" w:cs="Arial"/>
          <w:b/>
          <w:bCs/>
          <w:color w:val="215E99"/>
          <w:sz w:val="22"/>
          <w:szCs w:val="22"/>
        </w:rPr>
      </w:pPr>
    </w:p>
    <w:p w14:paraId="5C6E778F" w14:textId="77777777" w:rsidR="0077607C" w:rsidRDefault="0077607C" w:rsidP="0077607C">
      <w:pPr>
        <w:spacing w:after="160" w:line="278" w:lineRule="auto"/>
        <w:jc w:val="both"/>
        <w:rPr>
          <w:rFonts w:ascii="Arial" w:eastAsia="Arial" w:hAnsi="Arial" w:cs="Arial"/>
          <w:b/>
          <w:bCs/>
          <w:color w:val="215E99"/>
          <w:sz w:val="22"/>
          <w:szCs w:val="22"/>
        </w:rPr>
      </w:pPr>
    </w:p>
    <w:p w14:paraId="14ED88A3" w14:textId="77777777" w:rsidR="0077607C" w:rsidRDefault="0077607C" w:rsidP="0077607C">
      <w:pPr>
        <w:spacing w:after="160" w:line="278" w:lineRule="auto"/>
        <w:jc w:val="both"/>
        <w:rPr>
          <w:rFonts w:ascii="Arial" w:eastAsia="Arial" w:hAnsi="Arial" w:cs="Arial"/>
          <w:b/>
          <w:bCs/>
          <w:color w:val="215E99"/>
          <w:sz w:val="22"/>
          <w:szCs w:val="22"/>
        </w:rPr>
      </w:pPr>
    </w:p>
    <w:p w14:paraId="779F86F7" w14:textId="77777777" w:rsidR="0077607C" w:rsidRDefault="0077607C" w:rsidP="0077607C">
      <w:pPr>
        <w:spacing w:after="160" w:line="278" w:lineRule="auto"/>
        <w:jc w:val="both"/>
        <w:rPr>
          <w:rFonts w:ascii="Arial" w:eastAsia="Arial" w:hAnsi="Arial" w:cs="Arial"/>
          <w:b/>
          <w:bCs/>
          <w:color w:val="215E99"/>
          <w:sz w:val="22"/>
          <w:szCs w:val="22"/>
        </w:rPr>
      </w:pPr>
    </w:p>
    <w:p w14:paraId="3E09A2F3" w14:textId="77777777" w:rsidR="0077607C" w:rsidRDefault="0077607C" w:rsidP="0077607C">
      <w:pPr>
        <w:spacing w:after="160" w:line="278" w:lineRule="auto"/>
        <w:jc w:val="both"/>
        <w:rPr>
          <w:rFonts w:ascii="Arial" w:eastAsia="Arial" w:hAnsi="Arial" w:cs="Arial"/>
          <w:b/>
          <w:bCs/>
          <w:color w:val="215E99"/>
          <w:sz w:val="22"/>
          <w:szCs w:val="22"/>
        </w:rPr>
      </w:pPr>
    </w:p>
    <w:p w14:paraId="12BD0970" w14:textId="77777777" w:rsidR="0077607C" w:rsidRDefault="0077607C" w:rsidP="0077607C">
      <w:pPr>
        <w:spacing w:after="160" w:line="278" w:lineRule="auto"/>
        <w:jc w:val="both"/>
        <w:rPr>
          <w:rFonts w:ascii="Arial" w:eastAsia="Arial" w:hAnsi="Arial" w:cs="Arial"/>
          <w:b/>
          <w:bCs/>
          <w:color w:val="215E99"/>
          <w:sz w:val="22"/>
          <w:szCs w:val="22"/>
        </w:rPr>
      </w:pPr>
    </w:p>
    <w:p w14:paraId="791FDA43" w14:textId="77777777" w:rsidR="0077607C" w:rsidRDefault="0077607C" w:rsidP="0077607C">
      <w:pPr>
        <w:spacing w:after="160" w:line="278" w:lineRule="auto"/>
        <w:jc w:val="both"/>
        <w:rPr>
          <w:rFonts w:ascii="Arial" w:eastAsia="Arial" w:hAnsi="Arial" w:cs="Arial"/>
          <w:b/>
          <w:bCs/>
          <w:color w:val="215E99"/>
          <w:sz w:val="22"/>
          <w:szCs w:val="22"/>
        </w:rPr>
      </w:pPr>
    </w:p>
    <w:p w14:paraId="56052E9B" w14:textId="77777777" w:rsidR="0077607C" w:rsidRDefault="0077607C" w:rsidP="0077607C">
      <w:pPr>
        <w:spacing w:after="160" w:line="278" w:lineRule="auto"/>
        <w:jc w:val="both"/>
        <w:rPr>
          <w:rFonts w:ascii="Arial" w:eastAsia="Arial" w:hAnsi="Arial" w:cs="Arial"/>
          <w:b/>
          <w:bCs/>
          <w:color w:val="215E99"/>
          <w:sz w:val="22"/>
          <w:szCs w:val="22"/>
        </w:rPr>
      </w:pPr>
    </w:p>
    <w:p w14:paraId="1FD9CA4D" w14:textId="77777777" w:rsidR="0077607C" w:rsidRDefault="0077607C" w:rsidP="0077607C">
      <w:pPr>
        <w:spacing w:after="160" w:line="278" w:lineRule="auto"/>
        <w:jc w:val="both"/>
        <w:rPr>
          <w:rFonts w:ascii="Arial" w:eastAsia="Arial" w:hAnsi="Arial" w:cs="Arial"/>
          <w:b/>
          <w:bCs/>
          <w:color w:val="215E99"/>
          <w:sz w:val="22"/>
          <w:szCs w:val="22"/>
        </w:rPr>
      </w:pPr>
    </w:p>
    <w:p w14:paraId="0132A539" w14:textId="77777777" w:rsidR="0077607C" w:rsidRDefault="0077607C" w:rsidP="0077607C">
      <w:pPr>
        <w:spacing w:after="160" w:line="278" w:lineRule="auto"/>
        <w:jc w:val="both"/>
        <w:rPr>
          <w:rFonts w:ascii="Arial" w:eastAsia="Arial" w:hAnsi="Arial" w:cs="Arial"/>
          <w:b/>
          <w:bCs/>
          <w:color w:val="215E99"/>
          <w:sz w:val="22"/>
          <w:szCs w:val="22"/>
        </w:rPr>
      </w:pPr>
    </w:p>
    <w:p w14:paraId="0EF9267F" w14:textId="77777777" w:rsidR="0077607C" w:rsidRDefault="0077607C" w:rsidP="0077607C">
      <w:pPr>
        <w:spacing w:after="160" w:line="278" w:lineRule="auto"/>
        <w:jc w:val="both"/>
        <w:rPr>
          <w:rFonts w:ascii="Arial" w:eastAsia="Arial" w:hAnsi="Arial" w:cs="Arial"/>
          <w:b/>
          <w:bCs/>
          <w:color w:val="215E99"/>
          <w:sz w:val="22"/>
          <w:szCs w:val="22"/>
        </w:rPr>
      </w:pPr>
    </w:p>
    <w:p w14:paraId="07467EC1" w14:textId="77777777" w:rsidR="0077607C" w:rsidRDefault="0077607C" w:rsidP="0077607C">
      <w:pPr>
        <w:spacing w:after="160" w:line="278" w:lineRule="auto"/>
        <w:jc w:val="both"/>
        <w:rPr>
          <w:rFonts w:ascii="Arial" w:eastAsia="Arial" w:hAnsi="Arial" w:cs="Arial"/>
          <w:b/>
          <w:bCs/>
          <w:color w:val="215E99"/>
          <w:sz w:val="22"/>
          <w:szCs w:val="22"/>
        </w:rPr>
      </w:pPr>
    </w:p>
    <w:p w14:paraId="36795BF6" w14:textId="77777777" w:rsidR="0077607C" w:rsidRDefault="0077607C" w:rsidP="0077607C">
      <w:pPr>
        <w:spacing w:after="160" w:line="278" w:lineRule="auto"/>
        <w:jc w:val="both"/>
        <w:rPr>
          <w:rFonts w:ascii="Arial" w:eastAsia="Arial" w:hAnsi="Arial" w:cs="Arial"/>
          <w:b/>
          <w:bCs/>
          <w:color w:val="215E99"/>
          <w:sz w:val="22"/>
          <w:szCs w:val="22"/>
        </w:rPr>
      </w:pPr>
    </w:p>
    <w:p w14:paraId="68C9C425" w14:textId="77777777" w:rsidR="0077607C" w:rsidRDefault="0077607C" w:rsidP="0077607C">
      <w:pPr>
        <w:spacing w:after="160" w:line="278" w:lineRule="auto"/>
        <w:jc w:val="both"/>
        <w:rPr>
          <w:rFonts w:ascii="Arial" w:eastAsia="Arial" w:hAnsi="Arial" w:cs="Arial"/>
          <w:b/>
          <w:bCs/>
          <w:color w:val="215E99"/>
          <w:sz w:val="22"/>
          <w:szCs w:val="22"/>
        </w:rPr>
      </w:pPr>
    </w:p>
    <w:p w14:paraId="1F76A486" w14:textId="77777777" w:rsidR="0077607C" w:rsidRDefault="0077607C" w:rsidP="0077607C">
      <w:pPr>
        <w:spacing w:after="160" w:line="278" w:lineRule="auto"/>
        <w:jc w:val="both"/>
        <w:rPr>
          <w:rFonts w:ascii="Arial" w:eastAsia="Arial" w:hAnsi="Arial" w:cs="Arial"/>
          <w:b/>
          <w:bCs/>
          <w:color w:val="215E99"/>
          <w:sz w:val="22"/>
          <w:szCs w:val="22"/>
        </w:rPr>
      </w:pPr>
    </w:p>
    <w:p w14:paraId="25925D6E" w14:textId="77777777" w:rsidR="0077607C" w:rsidRDefault="0077607C" w:rsidP="0077607C">
      <w:pPr>
        <w:spacing w:after="160" w:line="278" w:lineRule="auto"/>
        <w:jc w:val="both"/>
        <w:rPr>
          <w:rFonts w:ascii="Arial" w:eastAsia="Arial" w:hAnsi="Arial" w:cs="Arial"/>
          <w:b/>
          <w:bCs/>
          <w:color w:val="215E99"/>
          <w:sz w:val="22"/>
          <w:szCs w:val="22"/>
        </w:rPr>
      </w:pPr>
    </w:p>
    <w:p w14:paraId="7B171A00" w14:textId="77777777" w:rsidR="0077607C" w:rsidRDefault="0077607C" w:rsidP="0077607C">
      <w:pPr>
        <w:spacing w:after="160" w:line="278" w:lineRule="auto"/>
        <w:jc w:val="both"/>
        <w:rPr>
          <w:rFonts w:ascii="Arial" w:eastAsia="Arial" w:hAnsi="Arial" w:cs="Arial"/>
          <w:b/>
          <w:bCs/>
          <w:color w:val="215E99"/>
          <w:sz w:val="22"/>
          <w:szCs w:val="22"/>
        </w:rPr>
      </w:pPr>
    </w:p>
    <w:p w14:paraId="404D786C" w14:textId="77777777" w:rsidR="0077607C" w:rsidRDefault="0077607C" w:rsidP="0077607C">
      <w:pPr>
        <w:spacing w:after="160" w:line="278" w:lineRule="auto"/>
        <w:jc w:val="both"/>
        <w:rPr>
          <w:rFonts w:ascii="Arial" w:eastAsia="Arial" w:hAnsi="Arial" w:cs="Arial"/>
          <w:b/>
          <w:bCs/>
          <w:color w:val="215E99"/>
          <w:sz w:val="22"/>
          <w:szCs w:val="22"/>
        </w:rPr>
      </w:pPr>
    </w:p>
    <w:p w14:paraId="77119BD3" w14:textId="77777777" w:rsidR="0077607C" w:rsidRDefault="0077607C" w:rsidP="0077607C">
      <w:pPr>
        <w:spacing w:after="160" w:line="278" w:lineRule="auto"/>
        <w:jc w:val="both"/>
        <w:rPr>
          <w:rFonts w:ascii="Arial" w:eastAsia="Arial" w:hAnsi="Arial" w:cs="Arial"/>
          <w:b/>
          <w:bCs/>
          <w:color w:val="215E99"/>
          <w:sz w:val="22"/>
          <w:szCs w:val="22"/>
        </w:rPr>
      </w:pPr>
    </w:p>
    <w:p w14:paraId="7993F0A0" w14:textId="77777777" w:rsidR="0077607C" w:rsidRDefault="0077607C" w:rsidP="0077607C">
      <w:pPr>
        <w:spacing w:after="160" w:line="278" w:lineRule="auto"/>
        <w:jc w:val="both"/>
        <w:rPr>
          <w:rFonts w:ascii="Arial" w:eastAsia="Arial" w:hAnsi="Arial" w:cs="Arial"/>
          <w:b/>
          <w:bCs/>
          <w:color w:val="215E99"/>
          <w:sz w:val="22"/>
          <w:szCs w:val="22"/>
        </w:rPr>
      </w:pPr>
    </w:p>
    <w:p w14:paraId="3B831772" w14:textId="77777777" w:rsidR="0077607C" w:rsidRDefault="0077607C" w:rsidP="0077607C">
      <w:pPr>
        <w:spacing w:after="160" w:line="278" w:lineRule="auto"/>
        <w:jc w:val="both"/>
        <w:rPr>
          <w:rFonts w:ascii="Arial" w:eastAsia="Arial" w:hAnsi="Arial" w:cs="Arial"/>
          <w:b/>
          <w:bCs/>
          <w:color w:val="215E99"/>
          <w:sz w:val="22"/>
          <w:szCs w:val="22"/>
        </w:rPr>
      </w:pPr>
    </w:p>
    <w:p w14:paraId="2F274ADB"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color w:val="215E99"/>
          <w:sz w:val="22"/>
          <w:szCs w:val="22"/>
        </w:rPr>
        <w:t>PROTECTION PHASE</w:t>
      </w:r>
    </w:p>
    <w:p w14:paraId="116F7041" w14:textId="77777777" w:rsidR="0077607C" w:rsidRDefault="0077607C" w:rsidP="0077607C">
      <w:pPr>
        <w:pStyle w:val="Heading1"/>
        <w:spacing w:after="160"/>
        <w:rPr>
          <w:rFonts w:ascii="Arial" w:eastAsia="Arial" w:hAnsi="Arial" w:cs="Arial"/>
          <w:color w:val="000000"/>
          <w:sz w:val="22"/>
          <w:szCs w:val="22"/>
        </w:rPr>
      </w:pPr>
      <w:r>
        <w:rPr>
          <w:rFonts w:ascii="Arial" w:eastAsia="Arial" w:hAnsi="Arial" w:cs="Arial"/>
          <w:b/>
          <w:bCs/>
          <w:color w:val="000000"/>
          <w:sz w:val="22"/>
          <w:szCs w:val="22"/>
        </w:rPr>
        <w:lastRenderedPageBreak/>
        <w:t>The 72-hrs Response Timeline</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000"/>
        <w:gridCol w:w="2200"/>
        <w:gridCol w:w="3700"/>
      </w:tblGrid>
      <w:tr w:rsidR="0077607C" w14:paraId="6B6919D4" w14:textId="77777777" w:rsidTr="002B7136">
        <w:trPr>
          <w:tblHeader/>
        </w:trPr>
        <w:tc>
          <w:tcPr>
            <w:tcW w:w="1600" w:type="dxa"/>
            <w:tcMar>
              <w:top w:w="100" w:type="dxa"/>
              <w:left w:w="120" w:type="dxa"/>
              <w:bottom w:w="100" w:type="dxa"/>
              <w:right w:w="120" w:type="dxa"/>
            </w:tcMar>
          </w:tcPr>
          <w:p w14:paraId="7B322608" w14:textId="77777777" w:rsidR="0077607C" w:rsidRDefault="0077607C" w:rsidP="002B7136">
            <w:pPr>
              <w:rPr>
                <w:rFonts w:ascii="Arial" w:eastAsia="Arial" w:hAnsi="Arial" w:cs="Arial"/>
                <w:sz w:val="22"/>
                <w:szCs w:val="22"/>
              </w:rPr>
            </w:pPr>
            <w:r>
              <w:rPr>
                <w:rFonts w:ascii="Arial" w:eastAsia="Arial" w:hAnsi="Arial" w:cs="Arial"/>
                <w:b/>
                <w:bCs/>
                <w:sz w:val="22"/>
                <w:szCs w:val="22"/>
              </w:rPr>
              <w:t>Phase</w:t>
            </w:r>
          </w:p>
        </w:tc>
        <w:tc>
          <w:tcPr>
            <w:tcW w:w="2000" w:type="dxa"/>
            <w:tcMar>
              <w:top w:w="100" w:type="dxa"/>
              <w:left w:w="120" w:type="dxa"/>
              <w:bottom w:w="100" w:type="dxa"/>
              <w:right w:w="120" w:type="dxa"/>
            </w:tcMar>
          </w:tcPr>
          <w:p w14:paraId="4DE9F87E" w14:textId="77777777" w:rsidR="0077607C" w:rsidRDefault="0077607C" w:rsidP="002B7136">
            <w:pPr>
              <w:rPr>
                <w:rFonts w:ascii="Arial" w:eastAsia="Arial" w:hAnsi="Arial" w:cs="Arial"/>
                <w:sz w:val="22"/>
                <w:szCs w:val="22"/>
              </w:rPr>
            </w:pPr>
            <w:r>
              <w:rPr>
                <w:rFonts w:ascii="Arial" w:eastAsia="Arial" w:hAnsi="Arial" w:cs="Arial"/>
                <w:b/>
                <w:bCs/>
                <w:sz w:val="22"/>
                <w:szCs w:val="22"/>
              </w:rPr>
              <w:t>Timeframe</w:t>
            </w:r>
          </w:p>
        </w:tc>
        <w:tc>
          <w:tcPr>
            <w:tcW w:w="2200" w:type="dxa"/>
            <w:tcMar>
              <w:top w:w="100" w:type="dxa"/>
              <w:left w:w="120" w:type="dxa"/>
              <w:bottom w:w="100" w:type="dxa"/>
              <w:right w:w="120" w:type="dxa"/>
            </w:tcMar>
          </w:tcPr>
          <w:p w14:paraId="23EECFB8" w14:textId="77777777" w:rsidR="0077607C" w:rsidRDefault="0077607C" w:rsidP="002B7136">
            <w:pPr>
              <w:rPr>
                <w:rFonts w:ascii="Arial" w:eastAsia="Arial" w:hAnsi="Arial" w:cs="Arial"/>
                <w:sz w:val="22"/>
                <w:szCs w:val="22"/>
              </w:rPr>
            </w:pPr>
            <w:r>
              <w:rPr>
                <w:rFonts w:ascii="Arial" w:eastAsia="Arial" w:hAnsi="Arial" w:cs="Arial"/>
                <w:b/>
                <w:bCs/>
                <w:sz w:val="22"/>
                <w:szCs w:val="22"/>
              </w:rPr>
              <w:t>Objective</w:t>
            </w:r>
          </w:p>
        </w:tc>
        <w:tc>
          <w:tcPr>
            <w:tcW w:w="3700" w:type="dxa"/>
            <w:tcMar>
              <w:top w:w="100" w:type="dxa"/>
              <w:left w:w="120" w:type="dxa"/>
              <w:bottom w:w="100" w:type="dxa"/>
              <w:right w:w="120" w:type="dxa"/>
            </w:tcMar>
          </w:tcPr>
          <w:p w14:paraId="1BA3866F" w14:textId="77777777" w:rsidR="0077607C" w:rsidRDefault="0077607C" w:rsidP="002B7136">
            <w:pPr>
              <w:rPr>
                <w:rFonts w:ascii="Arial" w:eastAsia="Arial" w:hAnsi="Arial" w:cs="Arial"/>
                <w:sz w:val="22"/>
                <w:szCs w:val="22"/>
              </w:rPr>
            </w:pPr>
            <w:r>
              <w:rPr>
                <w:rFonts w:ascii="Arial" w:eastAsia="Arial" w:hAnsi="Arial" w:cs="Arial"/>
                <w:b/>
                <w:bCs/>
                <w:sz w:val="22"/>
                <w:szCs w:val="22"/>
              </w:rPr>
              <w:t>Key Actions</w:t>
            </w:r>
          </w:p>
        </w:tc>
      </w:tr>
      <w:tr w:rsidR="0077607C" w14:paraId="3425DC49" w14:textId="77777777" w:rsidTr="002B7136">
        <w:tc>
          <w:tcPr>
            <w:tcW w:w="1600" w:type="dxa"/>
            <w:shd w:val="clear" w:color="auto" w:fill="FFFFFF"/>
            <w:tcMar>
              <w:top w:w="100" w:type="dxa"/>
              <w:left w:w="120" w:type="dxa"/>
              <w:bottom w:w="100" w:type="dxa"/>
              <w:right w:w="120" w:type="dxa"/>
            </w:tcMar>
          </w:tcPr>
          <w:p w14:paraId="3A10BB20" w14:textId="77777777" w:rsidR="0077607C" w:rsidRDefault="0077607C" w:rsidP="002B7136">
            <w:pPr>
              <w:rPr>
                <w:rFonts w:ascii="Arial" w:eastAsia="Arial" w:hAnsi="Arial" w:cs="Arial"/>
                <w:sz w:val="22"/>
                <w:szCs w:val="22"/>
              </w:rPr>
            </w:pPr>
            <w:r>
              <w:rPr>
                <w:rFonts w:ascii="Arial" w:eastAsia="Arial" w:hAnsi="Arial" w:cs="Arial"/>
                <w:sz w:val="22"/>
                <w:szCs w:val="22"/>
              </w:rPr>
              <w:t>1. Detect</w:t>
            </w:r>
          </w:p>
        </w:tc>
        <w:tc>
          <w:tcPr>
            <w:tcW w:w="2000" w:type="dxa"/>
            <w:shd w:val="clear" w:color="auto" w:fill="FFFFFF"/>
            <w:tcMar>
              <w:top w:w="100" w:type="dxa"/>
              <w:left w:w="120" w:type="dxa"/>
              <w:bottom w:w="100" w:type="dxa"/>
              <w:right w:w="120" w:type="dxa"/>
            </w:tcMar>
          </w:tcPr>
          <w:p w14:paraId="2EE77DB0" w14:textId="77777777" w:rsidR="0077607C" w:rsidRDefault="0077607C" w:rsidP="002B7136">
            <w:pPr>
              <w:rPr>
                <w:rFonts w:ascii="Arial" w:eastAsia="Arial" w:hAnsi="Arial" w:cs="Arial"/>
                <w:sz w:val="22"/>
                <w:szCs w:val="22"/>
              </w:rPr>
            </w:pPr>
            <w:r>
              <w:rPr>
                <w:rFonts w:ascii="Arial" w:eastAsia="Arial" w:hAnsi="Arial" w:cs="Arial"/>
                <w:sz w:val="22"/>
                <w:szCs w:val="22"/>
              </w:rPr>
              <w:t>Hour 0–6</w:t>
            </w:r>
          </w:p>
        </w:tc>
        <w:tc>
          <w:tcPr>
            <w:tcW w:w="2200" w:type="dxa"/>
            <w:shd w:val="clear" w:color="auto" w:fill="FFFFFF"/>
            <w:tcMar>
              <w:top w:w="100" w:type="dxa"/>
              <w:left w:w="120" w:type="dxa"/>
              <w:bottom w:w="100" w:type="dxa"/>
              <w:right w:w="120" w:type="dxa"/>
            </w:tcMar>
          </w:tcPr>
          <w:p w14:paraId="01CD9239" w14:textId="77777777" w:rsidR="0077607C" w:rsidRDefault="0077607C" w:rsidP="002B7136">
            <w:pPr>
              <w:rPr>
                <w:rFonts w:ascii="Arial" w:eastAsia="Arial" w:hAnsi="Arial" w:cs="Arial"/>
                <w:sz w:val="22"/>
                <w:szCs w:val="22"/>
              </w:rPr>
            </w:pPr>
            <w:r>
              <w:rPr>
                <w:rFonts w:ascii="Arial" w:eastAsia="Arial" w:hAnsi="Arial" w:cs="Arial"/>
                <w:sz w:val="22"/>
                <w:szCs w:val="22"/>
              </w:rPr>
              <w:t>Identify that an exploit exists</w:t>
            </w:r>
          </w:p>
        </w:tc>
        <w:tc>
          <w:tcPr>
            <w:tcW w:w="3700" w:type="dxa"/>
            <w:shd w:val="clear" w:color="auto" w:fill="FFFFFF"/>
            <w:tcMar>
              <w:top w:w="100" w:type="dxa"/>
              <w:left w:w="120" w:type="dxa"/>
              <w:bottom w:w="100" w:type="dxa"/>
              <w:right w:w="120" w:type="dxa"/>
            </w:tcMar>
          </w:tcPr>
          <w:p w14:paraId="466F3A8C" w14:textId="77777777" w:rsidR="0077607C" w:rsidRDefault="0077607C" w:rsidP="002B7136">
            <w:pPr>
              <w:rPr>
                <w:rFonts w:ascii="Arial" w:eastAsia="Arial" w:hAnsi="Arial" w:cs="Arial"/>
                <w:sz w:val="22"/>
                <w:szCs w:val="22"/>
              </w:rPr>
            </w:pPr>
            <w:r>
              <w:rPr>
                <w:rFonts w:ascii="Arial" w:eastAsia="Arial" w:hAnsi="Arial" w:cs="Arial"/>
                <w:sz w:val="22"/>
                <w:szCs w:val="22"/>
              </w:rPr>
              <w:t>Correlate monitoring alerts, threat intelligence feeds, and vendor or CERT disclosures to confirm the vulnerability is real and relevant to your environment.</w:t>
            </w:r>
          </w:p>
        </w:tc>
      </w:tr>
      <w:tr w:rsidR="0077607C" w14:paraId="5DE3EF14" w14:textId="77777777" w:rsidTr="002B7136">
        <w:tc>
          <w:tcPr>
            <w:tcW w:w="1600" w:type="dxa"/>
            <w:shd w:val="clear" w:color="auto" w:fill="FFFFFF"/>
            <w:tcMar>
              <w:top w:w="100" w:type="dxa"/>
              <w:left w:w="120" w:type="dxa"/>
              <w:bottom w:w="100" w:type="dxa"/>
              <w:right w:w="120" w:type="dxa"/>
            </w:tcMar>
          </w:tcPr>
          <w:p w14:paraId="2B80BBAE" w14:textId="77777777" w:rsidR="0077607C" w:rsidRDefault="0077607C" w:rsidP="002B7136">
            <w:pPr>
              <w:rPr>
                <w:rFonts w:ascii="Arial" w:eastAsia="Arial" w:hAnsi="Arial" w:cs="Arial"/>
                <w:sz w:val="22"/>
                <w:szCs w:val="22"/>
              </w:rPr>
            </w:pPr>
            <w:r>
              <w:rPr>
                <w:rFonts w:ascii="Arial" w:eastAsia="Arial" w:hAnsi="Arial" w:cs="Arial"/>
                <w:sz w:val="22"/>
                <w:szCs w:val="22"/>
              </w:rPr>
              <w:t>2. Contain</w:t>
            </w:r>
          </w:p>
        </w:tc>
        <w:tc>
          <w:tcPr>
            <w:tcW w:w="2000" w:type="dxa"/>
            <w:shd w:val="clear" w:color="auto" w:fill="FFFFFF"/>
            <w:tcMar>
              <w:top w:w="100" w:type="dxa"/>
              <w:left w:w="120" w:type="dxa"/>
              <w:bottom w:w="100" w:type="dxa"/>
              <w:right w:w="120" w:type="dxa"/>
            </w:tcMar>
          </w:tcPr>
          <w:p w14:paraId="04ACCFEA" w14:textId="77777777" w:rsidR="0077607C" w:rsidRDefault="0077607C" w:rsidP="002B7136">
            <w:pPr>
              <w:rPr>
                <w:rFonts w:ascii="Arial" w:eastAsia="Arial" w:hAnsi="Arial" w:cs="Arial"/>
                <w:sz w:val="22"/>
                <w:szCs w:val="22"/>
              </w:rPr>
            </w:pPr>
            <w:r>
              <w:rPr>
                <w:rFonts w:ascii="Arial" w:eastAsia="Arial" w:hAnsi="Arial" w:cs="Arial"/>
                <w:sz w:val="22"/>
                <w:szCs w:val="22"/>
              </w:rPr>
              <w:t>Hour 6-24</w:t>
            </w:r>
          </w:p>
        </w:tc>
        <w:tc>
          <w:tcPr>
            <w:tcW w:w="2200" w:type="dxa"/>
            <w:shd w:val="clear" w:color="auto" w:fill="FFFFFF"/>
            <w:tcMar>
              <w:top w:w="100" w:type="dxa"/>
              <w:left w:w="120" w:type="dxa"/>
              <w:bottom w:w="100" w:type="dxa"/>
              <w:right w:w="120" w:type="dxa"/>
            </w:tcMar>
          </w:tcPr>
          <w:p w14:paraId="74B10558" w14:textId="77777777" w:rsidR="0077607C" w:rsidRDefault="0077607C" w:rsidP="002B7136">
            <w:pPr>
              <w:rPr>
                <w:rFonts w:ascii="Arial" w:eastAsia="Arial" w:hAnsi="Arial" w:cs="Arial"/>
                <w:sz w:val="22"/>
                <w:szCs w:val="22"/>
              </w:rPr>
            </w:pPr>
            <w:r>
              <w:rPr>
                <w:rFonts w:ascii="Arial" w:eastAsia="Arial" w:hAnsi="Arial" w:cs="Arial"/>
                <w:sz w:val="22"/>
                <w:szCs w:val="22"/>
              </w:rPr>
              <w:t>Stop the bleeding</w:t>
            </w:r>
          </w:p>
        </w:tc>
        <w:tc>
          <w:tcPr>
            <w:tcW w:w="3700" w:type="dxa"/>
            <w:shd w:val="clear" w:color="auto" w:fill="FFFFFF"/>
            <w:tcMar>
              <w:top w:w="100" w:type="dxa"/>
              <w:left w:w="120" w:type="dxa"/>
              <w:bottom w:w="100" w:type="dxa"/>
              <w:right w:w="120" w:type="dxa"/>
            </w:tcMar>
          </w:tcPr>
          <w:p w14:paraId="4626E9CB" w14:textId="77777777" w:rsidR="0077607C" w:rsidRDefault="0077607C" w:rsidP="002B7136">
            <w:pPr>
              <w:rPr>
                <w:rFonts w:ascii="Arial" w:eastAsia="Arial" w:hAnsi="Arial" w:cs="Arial"/>
                <w:sz w:val="22"/>
                <w:szCs w:val="22"/>
              </w:rPr>
            </w:pPr>
            <w:r>
              <w:rPr>
                <w:rFonts w:ascii="Arial" w:eastAsia="Arial" w:hAnsi="Arial" w:cs="Arial"/>
                <w:sz w:val="22"/>
                <w:szCs w:val="22"/>
              </w:rPr>
              <w:t>Isolate affected systems, cut off attacker access paths, and apply emergency compensating controls (firewall rules, account lockdowns) while a permanent fix is prepared.</w:t>
            </w:r>
          </w:p>
        </w:tc>
      </w:tr>
      <w:tr w:rsidR="0077607C" w14:paraId="298DF843" w14:textId="77777777" w:rsidTr="002B7136">
        <w:tc>
          <w:tcPr>
            <w:tcW w:w="1600" w:type="dxa"/>
            <w:shd w:val="clear" w:color="auto" w:fill="FFFFFF"/>
            <w:tcMar>
              <w:top w:w="100" w:type="dxa"/>
              <w:left w:w="120" w:type="dxa"/>
              <w:bottom w:w="100" w:type="dxa"/>
              <w:right w:w="120" w:type="dxa"/>
            </w:tcMar>
          </w:tcPr>
          <w:p w14:paraId="0C57C668" w14:textId="77777777" w:rsidR="0077607C" w:rsidRDefault="0077607C" w:rsidP="002B7136">
            <w:pPr>
              <w:rPr>
                <w:rFonts w:ascii="Arial" w:eastAsia="Arial" w:hAnsi="Arial" w:cs="Arial"/>
                <w:sz w:val="22"/>
                <w:szCs w:val="22"/>
              </w:rPr>
            </w:pPr>
            <w:r>
              <w:rPr>
                <w:rFonts w:ascii="Arial" w:eastAsia="Arial" w:hAnsi="Arial" w:cs="Arial"/>
                <w:sz w:val="22"/>
                <w:szCs w:val="22"/>
              </w:rPr>
              <w:t>3. Remediate</w:t>
            </w:r>
          </w:p>
        </w:tc>
        <w:tc>
          <w:tcPr>
            <w:tcW w:w="2000" w:type="dxa"/>
            <w:shd w:val="clear" w:color="auto" w:fill="FFFFFF"/>
            <w:tcMar>
              <w:top w:w="100" w:type="dxa"/>
              <w:left w:w="120" w:type="dxa"/>
              <w:bottom w:w="100" w:type="dxa"/>
              <w:right w:w="120" w:type="dxa"/>
            </w:tcMar>
          </w:tcPr>
          <w:p w14:paraId="1E634C17" w14:textId="77777777" w:rsidR="0077607C" w:rsidRDefault="0077607C" w:rsidP="002B7136">
            <w:pPr>
              <w:rPr>
                <w:rFonts w:ascii="Arial" w:eastAsia="Arial" w:hAnsi="Arial" w:cs="Arial"/>
                <w:sz w:val="22"/>
                <w:szCs w:val="22"/>
              </w:rPr>
            </w:pPr>
            <w:r>
              <w:rPr>
                <w:rFonts w:ascii="Arial" w:eastAsia="Arial" w:hAnsi="Arial" w:cs="Arial"/>
                <w:sz w:val="22"/>
                <w:szCs w:val="22"/>
              </w:rPr>
              <w:t>Hour 24–48</w:t>
            </w:r>
          </w:p>
        </w:tc>
        <w:tc>
          <w:tcPr>
            <w:tcW w:w="2200" w:type="dxa"/>
            <w:shd w:val="clear" w:color="auto" w:fill="FFFFFF"/>
            <w:tcMar>
              <w:top w:w="100" w:type="dxa"/>
              <w:left w:w="120" w:type="dxa"/>
              <w:bottom w:w="100" w:type="dxa"/>
              <w:right w:w="120" w:type="dxa"/>
            </w:tcMar>
          </w:tcPr>
          <w:p w14:paraId="626ACCB2" w14:textId="77777777" w:rsidR="0077607C" w:rsidRDefault="0077607C" w:rsidP="002B7136">
            <w:pPr>
              <w:rPr>
                <w:rFonts w:ascii="Arial" w:eastAsia="Arial" w:hAnsi="Arial" w:cs="Arial"/>
                <w:sz w:val="22"/>
                <w:szCs w:val="22"/>
              </w:rPr>
            </w:pPr>
            <w:r>
              <w:rPr>
                <w:rFonts w:ascii="Arial" w:eastAsia="Arial" w:hAnsi="Arial" w:cs="Arial"/>
                <w:sz w:val="22"/>
                <w:szCs w:val="22"/>
              </w:rPr>
              <w:t>Close the vulnerability</w:t>
            </w:r>
          </w:p>
        </w:tc>
        <w:tc>
          <w:tcPr>
            <w:tcW w:w="3700" w:type="dxa"/>
            <w:shd w:val="clear" w:color="auto" w:fill="FFFFFF"/>
            <w:tcMar>
              <w:top w:w="100" w:type="dxa"/>
              <w:left w:w="120" w:type="dxa"/>
              <w:bottom w:w="100" w:type="dxa"/>
              <w:right w:w="120" w:type="dxa"/>
            </w:tcMar>
          </w:tcPr>
          <w:p w14:paraId="363BA74D" w14:textId="77777777" w:rsidR="0077607C" w:rsidRDefault="0077607C" w:rsidP="002B7136">
            <w:pPr>
              <w:rPr>
                <w:rFonts w:ascii="Arial" w:eastAsia="Arial" w:hAnsi="Arial" w:cs="Arial"/>
                <w:sz w:val="22"/>
                <w:szCs w:val="22"/>
              </w:rPr>
            </w:pPr>
            <w:r>
              <w:rPr>
                <w:rFonts w:ascii="Arial" w:eastAsia="Arial" w:hAnsi="Arial" w:cs="Arial"/>
                <w:sz w:val="22"/>
                <w:szCs w:val="22"/>
              </w:rPr>
              <w:t>Test the vendor patch or a validated workaround in staging, then deploy it in waves across all affected systems, prioritizing internet-facing and high-value assets first.</w:t>
            </w:r>
          </w:p>
        </w:tc>
      </w:tr>
      <w:tr w:rsidR="0077607C" w14:paraId="69E3C0BA" w14:textId="77777777" w:rsidTr="002B7136">
        <w:tc>
          <w:tcPr>
            <w:tcW w:w="1600" w:type="dxa"/>
            <w:shd w:val="clear" w:color="auto" w:fill="FFFFFF"/>
            <w:tcMar>
              <w:top w:w="100" w:type="dxa"/>
              <w:left w:w="120" w:type="dxa"/>
              <w:bottom w:w="100" w:type="dxa"/>
              <w:right w:w="120" w:type="dxa"/>
            </w:tcMar>
          </w:tcPr>
          <w:p w14:paraId="4679DA29" w14:textId="77777777" w:rsidR="0077607C" w:rsidRDefault="0077607C" w:rsidP="002B7136">
            <w:pPr>
              <w:rPr>
                <w:rFonts w:ascii="Arial" w:eastAsia="Arial" w:hAnsi="Arial" w:cs="Arial"/>
                <w:sz w:val="22"/>
                <w:szCs w:val="22"/>
              </w:rPr>
            </w:pPr>
            <w:r>
              <w:rPr>
                <w:rFonts w:ascii="Arial" w:eastAsia="Arial" w:hAnsi="Arial" w:cs="Arial"/>
                <w:sz w:val="22"/>
                <w:szCs w:val="22"/>
              </w:rPr>
              <w:t>4. Verify</w:t>
            </w:r>
          </w:p>
        </w:tc>
        <w:tc>
          <w:tcPr>
            <w:tcW w:w="2000" w:type="dxa"/>
            <w:shd w:val="clear" w:color="auto" w:fill="FFFFFF"/>
            <w:tcMar>
              <w:top w:w="100" w:type="dxa"/>
              <w:left w:w="120" w:type="dxa"/>
              <w:bottom w:w="100" w:type="dxa"/>
              <w:right w:w="120" w:type="dxa"/>
            </w:tcMar>
          </w:tcPr>
          <w:p w14:paraId="4BB33D19" w14:textId="77777777" w:rsidR="0077607C" w:rsidRDefault="0077607C" w:rsidP="002B7136">
            <w:pPr>
              <w:rPr>
                <w:rFonts w:ascii="Arial" w:eastAsia="Arial" w:hAnsi="Arial" w:cs="Arial"/>
                <w:sz w:val="22"/>
                <w:szCs w:val="22"/>
              </w:rPr>
            </w:pPr>
            <w:r>
              <w:rPr>
                <w:rFonts w:ascii="Arial" w:eastAsia="Arial" w:hAnsi="Arial" w:cs="Arial"/>
                <w:sz w:val="22"/>
                <w:szCs w:val="22"/>
              </w:rPr>
              <w:t>Hour 48–72</w:t>
            </w:r>
          </w:p>
        </w:tc>
        <w:tc>
          <w:tcPr>
            <w:tcW w:w="2200" w:type="dxa"/>
            <w:shd w:val="clear" w:color="auto" w:fill="FFFFFF"/>
            <w:tcMar>
              <w:top w:w="100" w:type="dxa"/>
              <w:left w:w="120" w:type="dxa"/>
              <w:bottom w:w="100" w:type="dxa"/>
              <w:right w:w="120" w:type="dxa"/>
            </w:tcMar>
          </w:tcPr>
          <w:p w14:paraId="363BB8A2" w14:textId="77777777" w:rsidR="0077607C" w:rsidRDefault="0077607C" w:rsidP="002B7136">
            <w:pPr>
              <w:rPr>
                <w:rFonts w:ascii="Arial" w:eastAsia="Arial" w:hAnsi="Arial" w:cs="Arial"/>
                <w:sz w:val="22"/>
                <w:szCs w:val="22"/>
              </w:rPr>
            </w:pPr>
            <w:r>
              <w:rPr>
                <w:rFonts w:ascii="Arial" w:eastAsia="Arial" w:hAnsi="Arial" w:cs="Arial"/>
                <w:sz w:val="22"/>
                <w:szCs w:val="22"/>
              </w:rPr>
              <w:t>Confirm the incident is closed</w:t>
            </w:r>
          </w:p>
        </w:tc>
        <w:tc>
          <w:tcPr>
            <w:tcW w:w="3700" w:type="dxa"/>
            <w:shd w:val="clear" w:color="auto" w:fill="FFFFFF"/>
            <w:tcMar>
              <w:top w:w="100" w:type="dxa"/>
              <w:left w:w="120" w:type="dxa"/>
              <w:bottom w:w="100" w:type="dxa"/>
              <w:right w:w="120" w:type="dxa"/>
            </w:tcMar>
          </w:tcPr>
          <w:p w14:paraId="2C26DC72" w14:textId="77777777" w:rsidR="0077607C" w:rsidRDefault="0077607C" w:rsidP="002B7136">
            <w:pPr>
              <w:rPr>
                <w:rFonts w:ascii="Arial" w:eastAsia="Arial" w:hAnsi="Arial" w:cs="Arial"/>
                <w:sz w:val="22"/>
                <w:szCs w:val="22"/>
              </w:rPr>
            </w:pPr>
            <w:r>
              <w:rPr>
                <w:rFonts w:ascii="Arial" w:eastAsia="Arial" w:hAnsi="Arial" w:cs="Arial"/>
                <w:sz w:val="22"/>
                <w:szCs w:val="22"/>
              </w:rPr>
              <w:t>Scan for residual compromise, confirm full patch coverage, restore normal operations, and update policy based on lessons learned.</w:t>
            </w:r>
          </w:p>
        </w:tc>
      </w:tr>
    </w:tbl>
    <w:p w14:paraId="61658C11" w14:textId="77777777" w:rsidR="0077607C" w:rsidRDefault="0077607C" w:rsidP="0077607C">
      <w:pPr>
        <w:pStyle w:val="Heading2"/>
        <w:spacing w:before="240" w:after="120"/>
        <w:rPr>
          <w:rFonts w:ascii="Arial" w:eastAsia="Arial" w:hAnsi="Arial" w:cs="Arial"/>
          <w:color w:val="000000"/>
          <w:sz w:val="22"/>
          <w:szCs w:val="22"/>
        </w:rPr>
      </w:pPr>
      <w:r>
        <w:rPr>
          <w:rFonts w:ascii="Arial" w:eastAsia="Arial" w:hAnsi="Arial" w:cs="Arial"/>
          <w:b/>
          <w:bCs/>
          <w:color w:val="000000"/>
          <w:sz w:val="22"/>
          <w:szCs w:val="22"/>
        </w:rPr>
        <w:t>Why 72 Hours?</w:t>
      </w:r>
    </w:p>
    <w:p w14:paraId="0FBB429E" w14:textId="77777777" w:rsidR="0077607C" w:rsidRDefault="0077607C" w:rsidP="0077607C">
      <w:pPr>
        <w:spacing w:after="160" w:line="300" w:lineRule="auto"/>
        <w:rPr>
          <w:rFonts w:ascii="Arial" w:eastAsia="Arial" w:hAnsi="Arial" w:cs="Arial"/>
          <w:sz w:val="22"/>
          <w:szCs w:val="22"/>
        </w:rPr>
      </w:pPr>
      <w:r>
        <w:rPr>
          <w:rFonts w:ascii="Arial" w:eastAsia="Arial" w:hAnsi="Arial" w:cs="Arial"/>
          <w:sz w:val="22"/>
          <w:szCs w:val="22"/>
        </w:rPr>
        <w:t>Seventy-two hours is a deliberately tight but achievable target. It's long enough to properly test a patch before mass deployment, but short enough to keep urgency high and stop response efforts from drifting. Many regulatory breach-notification windows (for example, 72-hour rules under GDPR-aligned frameworks) also anchor to this timeframe, so the blueprint doubles as a structure for meeting external reporting obligations.</w:t>
      </w:r>
    </w:p>
    <w:p w14:paraId="1DF76418" w14:textId="77777777" w:rsidR="0077607C" w:rsidRDefault="0077607C" w:rsidP="0077607C">
      <w:pPr>
        <w:pStyle w:val="Heading1"/>
        <w:spacing w:after="160"/>
        <w:rPr>
          <w:rFonts w:ascii="Arial" w:eastAsia="Arial" w:hAnsi="Arial" w:cs="Arial"/>
          <w:color w:val="000000"/>
          <w:sz w:val="22"/>
          <w:szCs w:val="22"/>
        </w:rPr>
      </w:pPr>
      <w:r>
        <w:rPr>
          <w:rFonts w:ascii="Arial" w:eastAsia="Arial" w:hAnsi="Arial" w:cs="Arial"/>
          <w:b/>
          <w:bCs/>
          <w:color w:val="000000"/>
          <w:sz w:val="22"/>
          <w:szCs w:val="22"/>
        </w:rPr>
        <w:t xml:space="preserve">Protection </w:t>
      </w:r>
    </w:p>
    <w:p w14:paraId="36C7A524" w14:textId="77777777" w:rsidR="0077607C" w:rsidRDefault="0077607C" w:rsidP="0077607C">
      <w:pPr>
        <w:spacing w:after="160" w:line="300" w:lineRule="auto"/>
        <w:rPr>
          <w:rFonts w:ascii="Arial" w:eastAsia="Arial" w:hAnsi="Arial" w:cs="Arial"/>
          <w:sz w:val="22"/>
          <w:szCs w:val="22"/>
        </w:rPr>
      </w:pPr>
      <w:r>
        <w:rPr>
          <w:rFonts w:ascii="Arial" w:eastAsia="Arial" w:hAnsi="Arial" w:cs="Arial"/>
          <w:sz w:val="22"/>
          <w:szCs w:val="22"/>
        </w:rPr>
        <w:t>Vendors typically need time to develop, test, and release a fix once a zero-day is disclosed. During that gap, the organization is exposed but not defenseless. Five categories of controls reduce that exposure:</w:t>
      </w:r>
    </w:p>
    <w:p w14:paraId="2417274D" w14:textId="77777777" w:rsidR="0077607C" w:rsidRDefault="0077607C" w:rsidP="0077607C">
      <w:pPr>
        <w:numPr>
          <w:ilvl w:val="0"/>
          <w:numId w:val="8"/>
        </w:numPr>
        <w:spacing w:after="90"/>
        <w:rPr>
          <w:sz w:val="22"/>
          <w:szCs w:val="22"/>
        </w:rPr>
      </w:pPr>
      <w:r>
        <w:rPr>
          <w:rFonts w:ascii="Arial" w:eastAsia="Arial" w:hAnsi="Arial" w:cs="Arial"/>
          <w:b/>
          <w:bCs/>
          <w:sz w:val="22"/>
          <w:szCs w:val="22"/>
        </w:rPr>
        <w:t xml:space="preserve">EDR &amp; Antivirus: </w:t>
      </w:r>
      <w:r>
        <w:rPr>
          <w:rFonts w:ascii="Arial" w:eastAsia="Arial" w:hAnsi="Arial" w:cs="Arial"/>
          <w:sz w:val="22"/>
          <w:szCs w:val="22"/>
        </w:rPr>
        <w:t>Endpoint Detection and Response (EDR) tools, paired with traditional antivirus, watch for the behavioral signatures of exploitation, like unusual process spawning, memory injection, privilege escalation (even when the specific exploit is unknown).</w:t>
      </w:r>
    </w:p>
    <w:p w14:paraId="274B8AEB" w14:textId="77777777" w:rsidR="0077607C" w:rsidRDefault="0077607C" w:rsidP="0077607C">
      <w:pPr>
        <w:numPr>
          <w:ilvl w:val="0"/>
          <w:numId w:val="8"/>
        </w:numPr>
        <w:spacing w:after="90"/>
        <w:rPr>
          <w:sz w:val="22"/>
          <w:szCs w:val="22"/>
        </w:rPr>
      </w:pPr>
      <w:r>
        <w:rPr>
          <w:rFonts w:ascii="Arial" w:eastAsia="Arial" w:hAnsi="Arial" w:cs="Arial"/>
          <w:b/>
          <w:bCs/>
          <w:sz w:val="22"/>
          <w:szCs w:val="22"/>
        </w:rPr>
        <w:t xml:space="preserve">Firewalls, IDS &amp; IPS: </w:t>
      </w:r>
      <w:r>
        <w:rPr>
          <w:rFonts w:ascii="Arial" w:eastAsia="Arial" w:hAnsi="Arial" w:cs="Arial"/>
          <w:sz w:val="22"/>
          <w:szCs w:val="22"/>
        </w:rPr>
        <w:t>Firewalls, intrusion detection systems (IDS), and intrusion prevention systems (IPS) can be tuned with emergency signatures or rules as soon as indicators of compromise are published, blocking known exploit traffic at the perimeter.</w:t>
      </w:r>
    </w:p>
    <w:p w14:paraId="181D19F6" w14:textId="77777777" w:rsidR="0077607C" w:rsidRDefault="0077607C" w:rsidP="0077607C">
      <w:pPr>
        <w:numPr>
          <w:ilvl w:val="0"/>
          <w:numId w:val="8"/>
        </w:numPr>
        <w:spacing w:after="90"/>
        <w:rPr>
          <w:sz w:val="22"/>
          <w:szCs w:val="22"/>
        </w:rPr>
      </w:pPr>
      <w:r>
        <w:rPr>
          <w:rFonts w:ascii="Arial" w:eastAsia="Arial" w:hAnsi="Arial" w:cs="Arial"/>
          <w:b/>
          <w:bCs/>
          <w:sz w:val="22"/>
          <w:szCs w:val="22"/>
        </w:rPr>
        <w:t xml:space="preserve">Network Segmentation: </w:t>
      </w:r>
      <w:r>
        <w:rPr>
          <w:rFonts w:ascii="Arial" w:eastAsia="Arial" w:hAnsi="Arial" w:cs="Arial"/>
          <w:sz w:val="22"/>
          <w:szCs w:val="22"/>
        </w:rPr>
        <w:t>Segmenting the network limits how far an attacker can move if a system is compromised. Isolating affected systems turns a potential organization-wide incident into a contained one.</w:t>
      </w:r>
    </w:p>
    <w:p w14:paraId="2F79BBE0" w14:textId="77777777" w:rsidR="0077607C" w:rsidRDefault="0077607C" w:rsidP="0077607C">
      <w:pPr>
        <w:numPr>
          <w:ilvl w:val="0"/>
          <w:numId w:val="8"/>
        </w:numPr>
        <w:spacing w:after="90"/>
        <w:rPr>
          <w:sz w:val="22"/>
          <w:szCs w:val="22"/>
        </w:rPr>
      </w:pPr>
      <w:r>
        <w:rPr>
          <w:rFonts w:ascii="Arial" w:eastAsia="Arial" w:hAnsi="Arial" w:cs="Arial"/>
          <w:b/>
          <w:bCs/>
          <w:sz w:val="22"/>
          <w:szCs w:val="22"/>
        </w:rPr>
        <w:lastRenderedPageBreak/>
        <w:t xml:space="preserve">Principle of Least Privilege: </w:t>
      </w:r>
      <w:r>
        <w:rPr>
          <w:rFonts w:ascii="Arial" w:eastAsia="Arial" w:hAnsi="Arial" w:cs="Arial"/>
          <w:sz w:val="22"/>
          <w:szCs w:val="22"/>
        </w:rPr>
        <w:t>Enforcing least privilege ensures that even a successfully exploited account or service has limited reach, reducing the blast radius of any single compromise.</w:t>
      </w:r>
    </w:p>
    <w:p w14:paraId="6C293B1E" w14:textId="77777777" w:rsidR="0077607C" w:rsidRDefault="0077607C" w:rsidP="0077607C">
      <w:pPr>
        <w:numPr>
          <w:ilvl w:val="0"/>
          <w:numId w:val="8"/>
        </w:numPr>
        <w:spacing w:after="90"/>
        <w:rPr>
          <w:sz w:val="22"/>
          <w:szCs w:val="22"/>
        </w:rPr>
      </w:pPr>
      <w:r>
        <w:rPr>
          <w:rFonts w:ascii="Arial" w:eastAsia="Arial" w:hAnsi="Arial" w:cs="Arial"/>
          <w:b/>
          <w:bCs/>
          <w:sz w:val="22"/>
          <w:szCs w:val="22"/>
        </w:rPr>
        <w:t xml:space="preserve">Monitor Systems &amp; Traffic: </w:t>
      </w:r>
      <w:r>
        <w:rPr>
          <w:rFonts w:ascii="Arial" w:eastAsia="Arial" w:hAnsi="Arial" w:cs="Arial"/>
          <w:sz w:val="22"/>
          <w:szCs w:val="22"/>
        </w:rPr>
        <w:t>Continuous monitoring of systems and network traffic is what makes early detection possible in the first place, and it remains essential throughout containment to confirm controls are holding.</w:t>
      </w:r>
    </w:p>
    <w:p w14:paraId="04CDD754" w14:textId="77777777" w:rsidR="0077607C" w:rsidRDefault="0077607C" w:rsidP="0077607C">
      <w:pPr>
        <w:spacing w:after="160" w:line="278" w:lineRule="auto"/>
        <w:jc w:val="both"/>
        <w:rPr>
          <w:rFonts w:ascii="Arial" w:eastAsia="Arial" w:hAnsi="Arial" w:cs="Arial"/>
          <w:b/>
          <w:bCs/>
          <w:sz w:val="22"/>
          <w:szCs w:val="22"/>
          <w:u w:val="single"/>
        </w:rPr>
      </w:pPr>
    </w:p>
    <w:p w14:paraId="67CA5481" w14:textId="77777777" w:rsidR="0077607C" w:rsidRDefault="0077607C" w:rsidP="0077607C">
      <w:pPr>
        <w:spacing w:after="160" w:line="278" w:lineRule="auto"/>
        <w:jc w:val="both"/>
        <w:rPr>
          <w:rFonts w:ascii="Arial" w:eastAsia="Arial" w:hAnsi="Arial" w:cs="Arial"/>
          <w:b/>
          <w:bCs/>
          <w:color w:val="215E99"/>
          <w:sz w:val="22"/>
          <w:szCs w:val="22"/>
        </w:rPr>
      </w:pPr>
    </w:p>
    <w:p w14:paraId="5818D265" w14:textId="77777777" w:rsidR="0077607C" w:rsidRDefault="0077607C" w:rsidP="0077607C">
      <w:pPr>
        <w:spacing w:after="160" w:line="278" w:lineRule="auto"/>
        <w:jc w:val="both"/>
        <w:rPr>
          <w:rFonts w:ascii="Arial" w:eastAsia="Arial" w:hAnsi="Arial" w:cs="Arial"/>
          <w:b/>
          <w:bCs/>
          <w:color w:val="215E99"/>
          <w:sz w:val="22"/>
          <w:szCs w:val="22"/>
        </w:rPr>
      </w:pPr>
    </w:p>
    <w:p w14:paraId="4B4C5E5B" w14:textId="77777777" w:rsidR="0077607C" w:rsidRDefault="0077607C" w:rsidP="0077607C">
      <w:pPr>
        <w:spacing w:after="160" w:line="278" w:lineRule="auto"/>
        <w:jc w:val="both"/>
        <w:rPr>
          <w:rFonts w:ascii="Arial" w:eastAsia="Arial" w:hAnsi="Arial" w:cs="Arial"/>
          <w:b/>
          <w:bCs/>
          <w:color w:val="215E99"/>
          <w:sz w:val="22"/>
          <w:szCs w:val="22"/>
        </w:rPr>
      </w:pPr>
    </w:p>
    <w:p w14:paraId="4BCCB7F4" w14:textId="77777777" w:rsidR="0077607C" w:rsidRDefault="0077607C" w:rsidP="0077607C">
      <w:pPr>
        <w:spacing w:after="160" w:line="278" w:lineRule="auto"/>
        <w:jc w:val="both"/>
        <w:rPr>
          <w:rFonts w:ascii="Arial" w:eastAsia="Arial" w:hAnsi="Arial" w:cs="Arial"/>
          <w:b/>
          <w:bCs/>
          <w:color w:val="215E99"/>
          <w:sz w:val="22"/>
          <w:szCs w:val="22"/>
        </w:rPr>
      </w:pPr>
    </w:p>
    <w:p w14:paraId="07B9DEE4" w14:textId="77777777" w:rsidR="0077607C" w:rsidRDefault="0077607C" w:rsidP="0077607C">
      <w:pPr>
        <w:spacing w:after="160" w:line="278" w:lineRule="auto"/>
        <w:jc w:val="both"/>
        <w:rPr>
          <w:rFonts w:ascii="Arial" w:eastAsia="Arial" w:hAnsi="Arial" w:cs="Arial"/>
          <w:b/>
          <w:bCs/>
          <w:color w:val="215E99"/>
          <w:sz w:val="22"/>
          <w:szCs w:val="22"/>
        </w:rPr>
      </w:pPr>
    </w:p>
    <w:p w14:paraId="00A87CBE" w14:textId="77777777" w:rsidR="0077607C" w:rsidRDefault="0077607C" w:rsidP="0077607C">
      <w:pPr>
        <w:spacing w:after="160" w:line="278" w:lineRule="auto"/>
        <w:jc w:val="both"/>
        <w:rPr>
          <w:rFonts w:ascii="Arial" w:eastAsia="Arial" w:hAnsi="Arial" w:cs="Arial"/>
          <w:b/>
          <w:bCs/>
          <w:color w:val="215E99"/>
          <w:sz w:val="22"/>
          <w:szCs w:val="22"/>
        </w:rPr>
      </w:pPr>
    </w:p>
    <w:p w14:paraId="5AC62312" w14:textId="77777777" w:rsidR="0077607C" w:rsidRDefault="0077607C" w:rsidP="0077607C">
      <w:pPr>
        <w:spacing w:after="160" w:line="278" w:lineRule="auto"/>
        <w:jc w:val="both"/>
        <w:rPr>
          <w:rFonts w:ascii="Arial" w:eastAsia="Arial" w:hAnsi="Arial" w:cs="Arial"/>
          <w:b/>
          <w:bCs/>
          <w:color w:val="215E99"/>
          <w:sz w:val="22"/>
          <w:szCs w:val="22"/>
        </w:rPr>
      </w:pPr>
    </w:p>
    <w:p w14:paraId="7E3C3D28" w14:textId="77777777" w:rsidR="0077607C" w:rsidRDefault="0077607C" w:rsidP="0077607C">
      <w:pPr>
        <w:spacing w:after="160" w:line="278" w:lineRule="auto"/>
        <w:jc w:val="both"/>
        <w:rPr>
          <w:rFonts w:ascii="Arial" w:eastAsia="Arial" w:hAnsi="Arial" w:cs="Arial"/>
          <w:b/>
          <w:bCs/>
          <w:color w:val="215E99"/>
          <w:sz w:val="22"/>
          <w:szCs w:val="22"/>
        </w:rPr>
      </w:pPr>
    </w:p>
    <w:p w14:paraId="6803281B" w14:textId="77777777" w:rsidR="0077607C" w:rsidRDefault="0077607C" w:rsidP="0077607C">
      <w:pPr>
        <w:spacing w:after="160" w:line="278" w:lineRule="auto"/>
        <w:jc w:val="both"/>
        <w:rPr>
          <w:rFonts w:ascii="Arial" w:eastAsia="Arial" w:hAnsi="Arial" w:cs="Arial"/>
          <w:b/>
          <w:bCs/>
          <w:color w:val="215E99"/>
          <w:sz w:val="22"/>
          <w:szCs w:val="22"/>
        </w:rPr>
      </w:pPr>
    </w:p>
    <w:p w14:paraId="5C268852" w14:textId="77777777" w:rsidR="0077607C" w:rsidRDefault="0077607C" w:rsidP="0077607C">
      <w:pPr>
        <w:spacing w:after="160" w:line="278" w:lineRule="auto"/>
        <w:jc w:val="both"/>
        <w:rPr>
          <w:rFonts w:ascii="Arial" w:eastAsia="Arial" w:hAnsi="Arial" w:cs="Arial"/>
          <w:b/>
          <w:bCs/>
          <w:color w:val="215E99"/>
          <w:sz w:val="22"/>
          <w:szCs w:val="22"/>
        </w:rPr>
      </w:pPr>
    </w:p>
    <w:p w14:paraId="4D489CF0" w14:textId="77777777" w:rsidR="0077607C" w:rsidRDefault="0077607C" w:rsidP="0077607C">
      <w:pPr>
        <w:spacing w:after="160" w:line="278" w:lineRule="auto"/>
        <w:jc w:val="both"/>
        <w:rPr>
          <w:rFonts w:ascii="Arial" w:eastAsia="Arial" w:hAnsi="Arial" w:cs="Arial"/>
          <w:b/>
          <w:bCs/>
          <w:color w:val="215E99"/>
          <w:sz w:val="22"/>
          <w:szCs w:val="22"/>
        </w:rPr>
      </w:pPr>
    </w:p>
    <w:p w14:paraId="75B97348" w14:textId="77777777" w:rsidR="0077607C" w:rsidRDefault="0077607C" w:rsidP="0077607C">
      <w:pPr>
        <w:spacing w:after="160" w:line="278" w:lineRule="auto"/>
        <w:jc w:val="both"/>
        <w:rPr>
          <w:rFonts w:ascii="Arial" w:eastAsia="Arial" w:hAnsi="Arial" w:cs="Arial"/>
          <w:b/>
          <w:bCs/>
          <w:color w:val="215E99"/>
          <w:sz w:val="22"/>
          <w:szCs w:val="22"/>
        </w:rPr>
      </w:pPr>
    </w:p>
    <w:p w14:paraId="66889806" w14:textId="77777777" w:rsidR="0077607C" w:rsidRDefault="0077607C" w:rsidP="0077607C">
      <w:pPr>
        <w:spacing w:after="160" w:line="278" w:lineRule="auto"/>
        <w:jc w:val="both"/>
        <w:rPr>
          <w:rFonts w:ascii="Arial" w:eastAsia="Arial" w:hAnsi="Arial" w:cs="Arial"/>
          <w:b/>
          <w:bCs/>
          <w:color w:val="215E99"/>
          <w:sz w:val="22"/>
          <w:szCs w:val="22"/>
        </w:rPr>
      </w:pPr>
    </w:p>
    <w:p w14:paraId="213D1C96" w14:textId="77777777" w:rsidR="0077607C" w:rsidRDefault="0077607C" w:rsidP="0077607C">
      <w:pPr>
        <w:spacing w:after="160" w:line="278" w:lineRule="auto"/>
        <w:jc w:val="both"/>
        <w:rPr>
          <w:rFonts w:ascii="Arial" w:eastAsia="Arial" w:hAnsi="Arial" w:cs="Arial"/>
          <w:b/>
          <w:bCs/>
          <w:color w:val="215E99"/>
          <w:sz w:val="22"/>
          <w:szCs w:val="22"/>
        </w:rPr>
      </w:pPr>
    </w:p>
    <w:p w14:paraId="407E6A61" w14:textId="77777777" w:rsidR="0077607C" w:rsidRDefault="0077607C" w:rsidP="0077607C">
      <w:pPr>
        <w:spacing w:after="160" w:line="278" w:lineRule="auto"/>
        <w:jc w:val="both"/>
        <w:rPr>
          <w:rFonts w:ascii="Arial" w:eastAsia="Arial" w:hAnsi="Arial" w:cs="Arial"/>
          <w:b/>
          <w:bCs/>
          <w:color w:val="215E99"/>
          <w:sz w:val="22"/>
          <w:szCs w:val="22"/>
        </w:rPr>
      </w:pPr>
    </w:p>
    <w:p w14:paraId="4CC3D471" w14:textId="77777777" w:rsidR="0077607C" w:rsidRDefault="0077607C" w:rsidP="0077607C">
      <w:pPr>
        <w:spacing w:after="160" w:line="278" w:lineRule="auto"/>
        <w:jc w:val="both"/>
        <w:rPr>
          <w:rFonts w:ascii="Arial" w:eastAsia="Arial" w:hAnsi="Arial" w:cs="Arial"/>
          <w:b/>
          <w:bCs/>
          <w:color w:val="215E99"/>
          <w:sz w:val="22"/>
          <w:szCs w:val="22"/>
        </w:rPr>
      </w:pPr>
    </w:p>
    <w:p w14:paraId="0FB9DEA7" w14:textId="77777777" w:rsidR="0077607C" w:rsidRDefault="0077607C" w:rsidP="0077607C">
      <w:pPr>
        <w:spacing w:after="160" w:line="278" w:lineRule="auto"/>
        <w:jc w:val="both"/>
        <w:rPr>
          <w:rFonts w:ascii="Arial" w:eastAsia="Arial" w:hAnsi="Arial" w:cs="Arial"/>
          <w:b/>
          <w:bCs/>
          <w:color w:val="215E99"/>
          <w:sz w:val="22"/>
          <w:szCs w:val="22"/>
        </w:rPr>
      </w:pPr>
    </w:p>
    <w:p w14:paraId="689F59D9" w14:textId="77777777" w:rsidR="0077607C" w:rsidRDefault="0077607C" w:rsidP="0077607C">
      <w:pPr>
        <w:spacing w:after="160" w:line="278" w:lineRule="auto"/>
        <w:jc w:val="both"/>
        <w:rPr>
          <w:rFonts w:ascii="Arial" w:eastAsia="Arial" w:hAnsi="Arial" w:cs="Arial"/>
          <w:b/>
          <w:bCs/>
          <w:color w:val="215E99"/>
          <w:sz w:val="22"/>
          <w:szCs w:val="22"/>
        </w:rPr>
      </w:pPr>
    </w:p>
    <w:p w14:paraId="4446C7FA" w14:textId="77777777" w:rsidR="0077607C" w:rsidRDefault="0077607C" w:rsidP="0077607C">
      <w:pPr>
        <w:spacing w:after="160" w:line="278" w:lineRule="auto"/>
        <w:jc w:val="both"/>
        <w:rPr>
          <w:rFonts w:ascii="Arial" w:eastAsia="Arial" w:hAnsi="Arial" w:cs="Arial"/>
          <w:b/>
          <w:bCs/>
          <w:color w:val="215E99"/>
          <w:sz w:val="22"/>
          <w:szCs w:val="22"/>
        </w:rPr>
      </w:pPr>
    </w:p>
    <w:p w14:paraId="6A729C1B" w14:textId="77777777" w:rsidR="0077607C" w:rsidRDefault="0077607C" w:rsidP="0077607C">
      <w:pPr>
        <w:spacing w:after="160" w:line="278" w:lineRule="auto"/>
        <w:jc w:val="both"/>
        <w:rPr>
          <w:rFonts w:ascii="Arial" w:eastAsia="Arial" w:hAnsi="Arial" w:cs="Arial"/>
          <w:b/>
          <w:bCs/>
          <w:color w:val="215E99"/>
          <w:sz w:val="22"/>
          <w:szCs w:val="22"/>
        </w:rPr>
      </w:pPr>
    </w:p>
    <w:p w14:paraId="49DBB34A" w14:textId="77777777" w:rsidR="0077607C" w:rsidRDefault="0077607C" w:rsidP="0077607C">
      <w:pPr>
        <w:spacing w:after="160" w:line="278" w:lineRule="auto"/>
        <w:jc w:val="both"/>
        <w:rPr>
          <w:rFonts w:ascii="Arial" w:eastAsia="Arial" w:hAnsi="Arial" w:cs="Arial"/>
          <w:b/>
          <w:bCs/>
          <w:color w:val="215E99"/>
          <w:sz w:val="22"/>
          <w:szCs w:val="22"/>
        </w:rPr>
      </w:pPr>
    </w:p>
    <w:p w14:paraId="0C7A04EA" w14:textId="77777777" w:rsidR="0077607C" w:rsidRDefault="0077607C" w:rsidP="0077607C">
      <w:pPr>
        <w:spacing w:after="160" w:line="278" w:lineRule="auto"/>
        <w:jc w:val="both"/>
        <w:rPr>
          <w:rFonts w:ascii="Arial" w:eastAsia="Arial" w:hAnsi="Arial" w:cs="Arial"/>
          <w:b/>
          <w:bCs/>
          <w:color w:val="215E99"/>
          <w:sz w:val="22"/>
          <w:szCs w:val="22"/>
        </w:rPr>
      </w:pPr>
    </w:p>
    <w:p w14:paraId="401B2F1E" w14:textId="77777777" w:rsidR="0077607C" w:rsidRDefault="0077607C" w:rsidP="0077607C">
      <w:pPr>
        <w:spacing w:after="160" w:line="278" w:lineRule="auto"/>
        <w:jc w:val="both"/>
        <w:rPr>
          <w:rFonts w:ascii="Arial" w:eastAsia="Arial" w:hAnsi="Arial" w:cs="Arial"/>
          <w:b/>
          <w:bCs/>
          <w:color w:val="215E99"/>
          <w:sz w:val="22"/>
          <w:szCs w:val="22"/>
        </w:rPr>
      </w:pPr>
    </w:p>
    <w:p w14:paraId="6DEB6EE2" w14:textId="77777777" w:rsidR="0077607C" w:rsidRDefault="0077607C" w:rsidP="0077607C">
      <w:pPr>
        <w:spacing w:after="160" w:line="278" w:lineRule="auto"/>
        <w:jc w:val="both"/>
        <w:rPr>
          <w:rFonts w:ascii="Arial" w:eastAsia="Arial" w:hAnsi="Arial" w:cs="Arial"/>
          <w:b/>
          <w:bCs/>
          <w:color w:val="215E99"/>
          <w:sz w:val="22"/>
          <w:szCs w:val="22"/>
        </w:rPr>
      </w:pPr>
    </w:p>
    <w:p w14:paraId="7C09BDE6" w14:textId="77777777" w:rsidR="0077607C" w:rsidRDefault="0077607C" w:rsidP="0077607C">
      <w:pPr>
        <w:pageBreakBefore/>
        <w:spacing w:after="160" w:line="278" w:lineRule="auto"/>
        <w:jc w:val="both"/>
        <w:rPr>
          <w:rFonts w:ascii="Arial" w:eastAsia="Arial" w:hAnsi="Arial" w:cs="Arial"/>
          <w:b/>
          <w:bCs/>
          <w:color w:val="215E99"/>
          <w:sz w:val="22"/>
          <w:szCs w:val="22"/>
        </w:rPr>
      </w:pPr>
      <w:r>
        <w:rPr>
          <w:rFonts w:ascii="Arial" w:eastAsia="Arial" w:hAnsi="Arial" w:cs="Arial"/>
          <w:b/>
          <w:bCs/>
          <w:color w:val="215E99"/>
          <w:sz w:val="22"/>
          <w:szCs w:val="22"/>
        </w:rPr>
        <w:lastRenderedPageBreak/>
        <w:t>DETECTION PHASE</w:t>
      </w:r>
    </w:p>
    <w:p w14:paraId="1CC70CAE" w14:textId="77777777" w:rsidR="0017547B" w:rsidRDefault="00000000">
      <w:pPr>
        <w:spacing w:after="100" w:line="259" w:lineRule="auto"/>
      </w:pPr>
      <w:r>
        <w:rPr>
          <w:rFonts w:ascii="Arial" w:hAnsi="Arial"/>
          <w:b/>
          <w:sz w:val="22"/>
        </w:rPr>
        <w:t>Purpose of the Detection Phase</w:t>
      </w:r>
    </w:p>
    <w:p w14:paraId="1B3E26E3" w14:textId="77777777" w:rsidR="0017547B" w:rsidRDefault="00000000">
      <w:pPr>
        <w:spacing w:after="100" w:line="259" w:lineRule="auto"/>
      </w:pPr>
      <w:r>
        <w:rPr>
          <w:rFonts w:ascii="Arial" w:hAnsi="Arial"/>
          <w:sz w:val="22"/>
        </w:rPr>
        <w:t>The Detect function of the NIST Cybersecurity Framework (CSF) 2.0 focuses on finding and analysing possible cybersecurity attacks in a timely manner. For a critical vulnerability or zero-day, detection cannot rely only on known signatures because the exploit may not yet have a patch or a published indicator of compromise. The objective is to identify abnormal activity early, validate whether it is malicious, and provide reliable information for containment and response.</w:t>
      </w:r>
    </w:p>
    <w:p w14:paraId="3A66845E" w14:textId="77777777" w:rsidR="0017547B" w:rsidRDefault="00000000">
      <w:pPr>
        <w:spacing w:after="100" w:line="259" w:lineRule="auto"/>
      </w:pPr>
      <w:r>
        <w:rPr>
          <w:rFonts w:ascii="Arial" w:hAnsi="Arial"/>
          <w:b/>
          <w:sz w:val="22"/>
        </w:rPr>
        <w:t>1. Establish a baseline of normal activity</w:t>
      </w:r>
    </w:p>
    <w:p w14:paraId="09F0E2F1" w14:textId="77777777" w:rsidR="0017547B" w:rsidRDefault="00000000">
      <w:pPr>
        <w:spacing w:after="100" w:line="259" w:lineRule="auto"/>
      </w:pPr>
      <w:r>
        <w:rPr>
          <w:rFonts w:ascii="Arial" w:hAnsi="Arial"/>
        </w:rPr>
        <w:t xml:space="preserve">• </w:t>
      </w:r>
      <w:r>
        <w:rPr>
          <w:rFonts w:ascii="Arial" w:hAnsi="Arial"/>
          <w:sz w:val="22"/>
        </w:rPr>
        <w:t>Monitor normal authentication patterns, endpoint processes, network connections, DNS requests, application behaviour, and data transfers. Baselines help analysts recognise unusual activity such as a service spawning an unexpected shell, a privileged account logging in at an unusual time, a process injecting code into another process, or a server suddenly communicating with an unfamiliar external host.</w:t>
      </w:r>
    </w:p>
    <w:p w14:paraId="793EF464" w14:textId="77777777" w:rsidR="0017547B" w:rsidRDefault="00000000">
      <w:pPr>
        <w:spacing w:after="100" w:line="259" w:lineRule="auto"/>
      </w:pPr>
      <w:r>
        <w:rPr>
          <w:rFonts w:ascii="Arial" w:hAnsi="Arial"/>
          <w:b/>
          <w:sz w:val="22"/>
        </w:rPr>
        <w:t>2. Collect and correlate security telemetry</w:t>
      </w:r>
    </w:p>
    <w:p w14:paraId="7F328D0C" w14:textId="77777777" w:rsidR="0017547B" w:rsidRDefault="00000000">
      <w:pPr>
        <w:spacing w:after="100" w:line="259" w:lineRule="auto"/>
      </w:pPr>
      <w:r>
        <w:rPr>
          <w:rFonts w:ascii="Arial" w:hAnsi="Arial"/>
          <w:sz w:val="22"/>
        </w:rPr>
        <w:t>Centralise logs from endpoints, servers, identity providers, firewalls, IDS/IPS, DNS, VPNs, cloud platforms, and critical applications in a SIEM. Correlate events across sources rather than treating each alert in isolation. EDR telemetry can reveal suspicious process trees, while network monitoring can show command-and-control traffic or lateral movement. Ensure clocks are synchronised and logging is enabled on critical assets.</w:t>
      </w:r>
    </w:p>
    <w:p w14:paraId="5159F4C7" w14:textId="77777777" w:rsidR="0017547B" w:rsidRDefault="00000000">
      <w:pPr>
        <w:spacing w:after="100" w:line="259" w:lineRule="auto"/>
      </w:pPr>
      <w:r>
        <w:rPr>
          <w:rFonts w:ascii="Arial" w:hAnsi="Arial"/>
          <w:b/>
          <w:sz w:val="22"/>
        </w:rPr>
        <w:t>3. Use behavioural detection and threat intelligence</w:t>
      </w:r>
    </w:p>
    <w:p w14:paraId="03105408" w14:textId="77777777" w:rsidR="0017547B" w:rsidRDefault="00000000">
      <w:pPr>
        <w:spacing w:after="100" w:line="259" w:lineRule="auto"/>
      </w:pPr>
      <w:r>
        <w:rPr>
          <w:rFonts w:ascii="Arial" w:hAnsi="Arial"/>
          <w:sz w:val="22"/>
        </w:rPr>
        <w:t>Use anomaly detection, endpoint behaviour analytics, network intrusion detection, and rules based on attacker techniques. Enrich alerts with current threat intelligence, indicators of compromise (IOCs), vulnerability advisories, CVE/CVSS information, and MITRE ATT&amp;CK techniques where applicable. Intelligence can improve detection, but the absence of a known IOC does not prove that a system is safe.</w:t>
      </w:r>
    </w:p>
    <w:p w14:paraId="2474734D" w14:textId="77777777" w:rsidR="0017547B" w:rsidRDefault="00000000">
      <w:pPr>
        <w:spacing w:after="100" w:line="259" w:lineRule="auto"/>
      </w:pPr>
      <w:r>
        <w:rPr>
          <w:rFonts w:ascii="Arial" w:hAnsi="Arial"/>
          <w:b/>
          <w:sz w:val="22"/>
        </w:rPr>
        <w:t>4. Triage and validate alerts</w:t>
      </w:r>
    </w:p>
    <w:p w14:paraId="227813E3" w14:textId="77777777" w:rsidR="0017547B" w:rsidRDefault="00000000">
      <w:pPr>
        <w:spacing w:after="100" w:line="259" w:lineRule="auto"/>
      </w:pPr>
      <w:r>
        <w:rPr>
          <w:rFonts w:ascii="Arial" w:hAnsi="Arial"/>
        </w:rPr>
        <w:t xml:space="preserve">• </w:t>
      </w:r>
      <w:r>
        <w:rPr>
          <w:rFonts w:ascii="Arial" w:hAnsi="Arial"/>
          <w:sz w:val="22"/>
        </w:rPr>
        <w:t>The SOC analyst reviews alert severity, affected assets, account privileges, event timelines, and supporting evidence. Determine whether the activity is a true positive, false positive, or requires further investigation. Prioritise alerts involving internet-facing systems, critical business services, privileged accounts, suspicious persistence, exploitation indicators, or unexpected outbound traffic. Preserve relevant logs and evidence before making changes that could destroy it.</w:t>
      </w:r>
    </w:p>
    <w:p w14:paraId="739FBDCF" w14:textId="77777777" w:rsidR="0017547B" w:rsidRDefault="00000000">
      <w:pPr>
        <w:spacing w:after="100" w:line="259" w:lineRule="auto"/>
      </w:pPr>
      <w:r>
        <w:rPr>
          <w:rFonts w:ascii="Arial" w:hAnsi="Arial"/>
          <w:b/>
          <w:sz w:val="22"/>
        </w:rPr>
        <w:t>5. Confirm scope and escalate</w:t>
      </w:r>
    </w:p>
    <w:p w14:paraId="52419FF1" w14:textId="77777777" w:rsidR="0017547B" w:rsidRDefault="00000000">
      <w:pPr>
        <w:spacing w:after="100" w:line="259" w:lineRule="auto"/>
      </w:pPr>
      <w:r>
        <w:rPr>
          <w:rFonts w:ascii="Arial" w:hAnsi="Arial"/>
          <w:sz w:val="22"/>
        </w:rPr>
        <w:t>Identify potentially affected hosts, users, applications, data, and connected systems. Look for related activity across the environment and check whether the vulnerability is present on exposed assets. Escalate credible exploitation or unexplained high-impact behaviour to the incident-response lead immediately, following the organisation’s severity matrix and escalation path.</w:t>
      </w:r>
    </w:p>
    <w:p w14:paraId="3AA1B00D" w14:textId="77777777" w:rsidR="0017547B" w:rsidRDefault="00000000">
      <w:pPr>
        <w:spacing w:after="100" w:line="259" w:lineRule="auto"/>
      </w:pPr>
      <w:r>
        <w:rPr>
          <w:rFonts w:ascii="Arial" w:hAnsi="Arial"/>
          <w:b/>
          <w:sz w:val="22"/>
        </w:rPr>
        <w:t>Detection outputs</w:t>
      </w:r>
    </w:p>
    <w:p w14:paraId="67EBB1D8" w14:textId="77777777" w:rsidR="0017547B" w:rsidRDefault="00000000">
      <w:pPr>
        <w:spacing w:after="100" w:line="259" w:lineRule="auto"/>
      </w:pPr>
      <w:r>
        <w:rPr>
          <w:rFonts w:ascii="Arial" w:hAnsi="Arial"/>
          <w:sz w:val="22"/>
        </w:rPr>
        <w:t>Record the alert source, timestamps, affected assets, observed behaviour, relevant IOCs, vulnerability details, confidence level, severity, actions already taken, and recommended next steps. The detection record should support a clear decision about whether to declare an incident and begin response activities. Continue monitoring during containment to determine whether the attacker remains active.</w:t>
      </w:r>
    </w:p>
    <w:p w14:paraId="5812A47A" w14:textId="77777777" w:rsidR="0017547B" w:rsidRDefault="00000000">
      <w:pPr>
        <w:spacing w:after="100" w:line="259" w:lineRule="auto"/>
      </w:pPr>
      <w:r>
        <w:rPr>
          <w:rFonts w:ascii="Arial" w:hAnsi="Arial"/>
          <w:sz w:val="22"/>
        </w:rPr>
        <w:t>Key principle: for a zero-day, behaviour and context may provide the strongest early warning. Detection should be continuous, correlated across multiple data sources, and connected to a documented escalation process.</w:t>
      </w:r>
    </w:p>
    <w:p w14:paraId="5E3CC392" w14:textId="77777777" w:rsidR="0077607C" w:rsidRDefault="0077607C" w:rsidP="0077607C">
      <w:pPr>
        <w:pageBreakBefore/>
        <w:spacing w:after="160" w:line="278" w:lineRule="auto"/>
        <w:jc w:val="both"/>
        <w:rPr>
          <w:rFonts w:ascii="Arial" w:eastAsia="Arial" w:hAnsi="Arial" w:cs="Arial"/>
          <w:b/>
          <w:bCs/>
          <w:color w:val="215E99"/>
          <w:sz w:val="22"/>
          <w:szCs w:val="22"/>
        </w:rPr>
      </w:pPr>
      <w:r>
        <w:rPr>
          <w:rFonts w:ascii="Arial" w:eastAsia="Arial" w:hAnsi="Arial" w:cs="Arial"/>
          <w:b/>
          <w:bCs/>
          <w:color w:val="215E99"/>
          <w:sz w:val="22"/>
          <w:szCs w:val="22"/>
        </w:rPr>
        <w:lastRenderedPageBreak/>
        <w:t>RESPONSE PHASE</w:t>
      </w:r>
    </w:p>
    <w:p w14:paraId="5C279D6A" w14:textId="77777777" w:rsidR="0017547B" w:rsidRDefault="00000000">
      <w:pPr>
        <w:spacing w:after="100" w:line="259" w:lineRule="auto"/>
      </w:pPr>
      <w:r>
        <w:rPr>
          <w:rFonts w:ascii="Arial" w:hAnsi="Arial"/>
          <w:b/>
          <w:sz w:val="22"/>
        </w:rPr>
        <w:t>Purpose of the Response Phase</w:t>
      </w:r>
    </w:p>
    <w:p w14:paraId="76CEE27E" w14:textId="77777777" w:rsidR="0017547B" w:rsidRDefault="00000000">
      <w:pPr>
        <w:spacing w:after="100" w:line="259" w:lineRule="auto"/>
      </w:pPr>
      <w:r>
        <w:rPr>
          <w:rFonts w:ascii="Arial" w:hAnsi="Arial"/>
          <w:sz w:val="22"/>
        </w:rPr>
        <w:t>The Respond function of NIST CSF 2.0 coordinates action after a cybersecurity incident is detected. For a critical vulnerability or suspected zero-day, the priorities are to limit harm, understand the incident, remove unauthorised access, communicate with the right stakeholders, and reduce the chance of further exploitation. Response decisions should follow the organisation’s incident-response plan, risk tolerance, and established authority levels.</w:t>
      </w:r>
    </w:p>
    <w:p w14:paraId="79D3E6B1" w14:textId="77777777" w:rsidR="0017547B" w:rsidRDefault="00000000">
      <w:pPr>
        <w:spacing w:after="100" w:line="259" w:lineRule="auto"/>
      </w:pPr>
      <w:r>
        <w:rPr>
          <w:rFonts w:ascii="Arial" w:hAnsi="Arial"/>
          <w:b/>
          <w:sz w:val="22"/>
        </w:rPr>
        <w:t>1. Declare and coordinate the incident</w:t>
      </w:r>
    </w:p>
    <w:p w14:paraId="51461C4B" w14:textId="77777777" w:rsidR="0017547B" w:rsidRDefault="00000000">
      <w:pPr>
        <w:spacing w:after="100" w:line="259" w:lineRule="auto"/>
      </w:pPr>
      <w:r>
        <w:rPr>
          <w:rFonts w:ascii="Arial" w:hAnsi="Arial"/>
          <w:sz w:val="22"/>
        </w:rPr>
        <w:t>The incident lead validates the available evidence, assigns a severity level, activates the appropriate response team, and opens an incident record. Define responsibilities for SOC analysts, IT operations, vulnerability management, legal/privacy teams, communications, business owners, and external providers. Establish a secure communication channel in case normal email or collaboration systems are compromised.</w:t>
      </w:r>
    </w:p>
    <w:p w14:paraId="09B85D2A" w14:textId="77777777" w:rsidR="0017547B" w:rsidRDefault="00000000">
      <w:pPr>
        <w:spacing w:after="100" w:line="259" w:lineRule="auto"/>
      </w:pPr>
      <w:r>
        <w:rPr>
          <w:rFonts w:ascii="Arial" w:hAnsi="Arial"/>
          <w:b/>
          <w:sz w:val="22"/>
        </w:rPr>
        <w:t>2. Contain the threat</w:t>
      </w:r>
    </w:p>
    <w:p w14:paraId="00DAC7AA" w14:textId="77777777" w:rsidR="0017547B" w:rsidRDefault="00000000">
      <w:pPr>
        <w:spacing w:after="100" w:line="259" w:lineRule="auto"/>
      </w:pPr>
      <w:r>
        <w:rPr>
          <w:rFonts w:ascii="Arial" w:hAnsi="Arial"/>
          <w:sz w:val="22"/>
        </w:rPr>
        <w:t>Limit the attacker’s ability to continue operating. Depending on the evidence and business impact, isolate affected endpoints, disable compromised accounts, revoke suspicious sessions and tokens, block malicious domains or IP addresses, restrict vulnerable services, and apply temporary firewall or access-control rules. For a zero-day without a patch, use compensating controls such as disabling the affected feature, restricting exposure, or placing the system behind additional filtering. Coordinate containment with system owners to avoid unnecessary disruption and preserve evidence where possible.</w:t>
      </w:r>
    </w:p>
    <w:p w14:paraId="642A6919" w14:textId="77777777" w:rsidR="0017547B" w:rsidRDefault="00000000">
      <w:pPr>
        <w:spacing w:after="100" w:line="259" w:lineRule="auto"/>
      </w:pPr>
      <w:r>
        <w:rPr>
          <w:rFonts w:ascii="Arial" w:hAnsi="Arial"/>
          <w:b/>
          <w:sz w:val="22"/>
        </w:rPr>
        <w:t>3. Investigate the scope and impact</w:t>
      </w:r>
    </w:p>
    <w:p w14:paraId="4A0EC198" w14:textId="77777777" w:rsidR="0017547B" w:rsidRDefault="00000000">
      <w:pPr>
        <w:spacing w:after="100" w:line="259" w:lineRule="auto"/>
      </w:pPr>
      <w:r>
        <w:rPr>
          <w:rFonts w:ascii="Arial" w:hAnsi="Arial"/>
          <w:sz w:val="22"/>
        </w:rPr>
        <w:t>Build a timeline from SIEM, EDR, identity, application, and network logs. Determine the likely initial access vector, affected systems and accounts, attacker actions, possible persistence, lateral movement, data access or exfiltration, and whether the vulnerability was exploited. Collect and protect forensic evidence, record decisions and timestamps, and update the incident hypothesis as new facts emerge. Do not assume that one affected host represents the full scope.</w:t>
      </w:r>
    </w:p>
    <w:p w14:paraId="3325BD89" w14:textId="77777777" w:rsidR="0017547B" w:rsidRDefault="00000000">
      <w:pPr>
        <w:spacing w:after="100" w:line="259" w:lineRule="auto"/>
      </w:pPr>
      <w:r>
        <w:rPr>
          <w:rFonts w:ascii="Arial" w:hAnsi="Arial"/>
          <w:b/>
          <w:sz w:val="22"/>
        </w:rPr>
        <w:t>4. Eradicate and remediate</w:t>
      </w:r>
    </w:p>
    <w:p w14:paraId="49E4F807" w14:textId="77777777" w:rsidR="0017547B" w:rsidRDefault="00000000">
      <w:pPr>
        <w:spacing w:after="100" w:line="259" w:lineRule="auto"/>
      </w:pPr>
      <w:r>
        <w:rPr>
          <w:rFonts w:ascii="Arial" w:hAnsi="Arial"/>
          <w:sz w:val="22"/>
        </w:rPr>
        <w:t>Remove identified malicious files, persistence mechanisms, unauthorised accounts, and attacker access. Apply a vendor patch when available and validated, or deploy a trusted workaround while waiting for a permanent fix. Test changes in a controlled environment when feasible, prioritise internet-facing and business-critical assets, and track remediation coverage. If compromise cannot be confidently removed, rebuild affected systems from trusted sources and rotate credentials or secrets that may have been exposed.</w:t>
      </w:r>
    </w:p>
    <w:p w14:paraId="700BF46A" w14:textId="77777777" w:rsidR="0017547B" w:rsidRDefault="00000000">
      <w:pPr>
        <w:spacing w:after="100" w:line="259" w:lineRule="auto"/>
      </w:pPr>
      <w:r>
        <w:rPr>
          <w:rFonts w:ascii="Arial" w:hAnsi="Arial"/>
          <w:b/>
          <w:sz w:val="22"/>
        </w:rPr>
        <w:t>5. Communicate and meet reporting obligations</w:t>
      </w:r>
    </w:p>
    <w:p w14:paraId="15AC787A" w14:textId="77777777" w:rsidR="0017547B" w:rsidRDefault="00000000">
      <w:pPr>
        <w:spacing w:after="100" w:line="259" w:lineRule="auto"/>
      </w:pPr>
      <w:r>
        <w:rPr>
          <w:rFonts w:ascii="Arial" w:hAnsi="Arial"/>
          <w:sz w:val="22"/>
        </w:rPr>
        <w:t>Provide timely, factual updates to leadership, IT teams, affected business owners, and other authorised stakeholders. Legal and privacy specialists should assess contractual, regulatory, and breach-notification obligations. Share indicators and technical details with vendors, service providers, or relevant authorities when appropriate and authorised. Keep communications consistent, document what is known and unknown, and avoid unsupported conclusions.</w:t>
      </w:r>
    </w:p>
    <w:p w14:paraId="14969E70" w14:textId="77777777" w:rsidR="0017547B" w:rsidRDefault="00000000">
      <w:pPr>
        <w:spacing w:after="100" w:line="259" w:lineRule="auto"/>
      </w:pPr>
      <w:r>
        <w:rPr>
          <w:rFonts w:ascii="Arial" w:hAnsi="Arial"/>
          <w:b/>
          <w:sz w:val="22"/>
        </w:rPr>
        <w:t>6. Verify containment and hand over to recovery</w:t>
      </w:r>
    </w:p>
    <w:p w14:paraId="7148F86A" w14:textId="77777777" w:rsidR="0017547B" w:rsidRDefault="00000000">
      <w:pPr>
        <w:spacing w:after="100" w:line="259" w:lineRule="auto"/>
      </w:pPr>
      <w:r>
        <w:rPr>
          <w:rFonts w:ascii="Arial" w:hAnsi="Arial"/>
          <w:sz w:val="22"/>
        </w:rPr>
        <w:t xml:space="preserve">Confirm that suspicious activity has stopped, attacker access paths are blocked, and the immediate risk is controlled. Increase monitoring for repeated exploitation attempts and signs of persistence. Document outstanding risks, temporary controls, patch status, affected assets, and criteria for safe </w:t>
      </w:r>
      <w:r>
        <w:rPr>
          <w:rFonts w:ascii="Arial" w:hAnsi="Arial"/>
          <w:sz w:val="22"/>
        </w:rPr>
        <w:lastRenderedPageBreak/>
        <w:t>restoration. Hand these findings to the Recovery phase so systems are returned to service only after appropriate checks.</w:t>
      </w:r>
    </w:p>
    <w:p w14:paraId="176EF086" w14:textId="77777777" w:rsidR="0017547B" w:rsidRDefault="00000000">
      <w:pPr>
        <w:spacing w:after="100" w:line="259" w:lineRule="auto"/>
      </w:pPr>
      <w:r>
        <w:rPr>
          <w:rFonts w:ascii="Arial" w:hAnsi="Arial"/>
          <w:b/>
          <w:sz w:val="22"/>
        </w:rPr>
        <w:t>Response evidence and success measures</w:t>
      </w:r>
    </w:p>
    <w:p w14:paraId="160DFB75" w14:textId="77777777" w:rsidR="0017547B" w:rsidRDefault="00000000">
      <w:pPr>
        <w:spacing w:after="100" w:line="259" w:lineRule="auto"/>
      </w:pPr>
      <w:r>
        <w:rPr>
          <w:rFonts w:ascii="Arial" w:hAnsi="Arial"/>
          <w:sz w:val="22"/>
        </w:rPr>
        <w:t>Maintain an incident timeline, decisions and approvals, evidence references, containment actions, communication records, remediation status, and unresolved risks. Review time to acknowledge, time to contain, time to remediate, and the scope of affected assets. After the incident, conduct a lessons-learned review and feed improvements into detection rules, playbooks, asset inventories, and risk assessments.</w:t>
      </w:r>
    </w:p>
    <w:p w14:paraId="31746284" w14:textId="77777777" w:rsidR="0017547B" w:rsidRDefault="00000000">
      <w:pPr>
        <w:spacing w:after="100" w:line="259" w:lineRule="auto"/>
      </w:pPr>
      <w:r>
        <w:rPr>
          <w:rFonts w:ascii="Arial" w:hAnsi="Arial"/>
          <w:sz w:val="22"/>
        </w:rPr>
        <w:t>Key principle: act quickly but deliberately. Containment reduces the blast radius; evidence-based investigation and verified remediation reduce the likelihood of recurrence.</w:t>
      </w:r>
    </w:p>
    <w:p w14:paraId="58F41F78"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color w:val="215E99"/>
          <w:sz w:val="22"/>
          <w:szCs w:val="22"/>
        </w:rPr>
        <w:t>RECOVERY PHASE</w:t>
      </w:r>
    </w:p>
    <w:p w14:paraId="28681D4E" w14:textId="77777777" w:rsidR="0077607C" w:rsidRDefault="0077607C" w:rsidP="0077607C">
      <w:pPr>
        <w:spacing w:after="140" w:line="276" w:lineRule="auto"/>
        <w:jc w:val="both"/>
        <w:rPr>
          <w:rFonts w:ascii="Arial" w:eastAsia="Arial" w:hAnsi="Arial" w:cs="Arial"/>
          <w:color w:val="222A33"/>
          <w:sz w:val="22"/>
          <w:szCs w:val="22"/>
        </w:rPr>
      </w:pPr>
      <w:r>
        <w:rPr>
          <w:rFonts w:ascii="Arial" w:eastAsia="Arial" w:hAnsi="Arial" w:cs="Arial"/>
          <w:color w:val="222A33"/>
          <w:sz w:val="22"/>
          <w:szCs w:val="22"/>
        </w:rPr>
        <w:t xml:space="preserve">When a cyberattack hits, </w:t>
      </w:r>
      <w:r>
        <w:rPr>
          <w:rFonts w:ascii="Arial" w:eastAsia="Arial" w:hAnsi="Arial" w:cs="Arial"/>
          <w:b/>
          <w:bCs/>
          <w:color w:val="16222F"/>
          <w:sz w:val="22"/>
          <w:szCs w:val="22"/>
        </w:rPr>
        <w:t>recovery</w:t>
      </w:r>
      <w:r>
        <w:rPr>
          <w:rFonts w:ascii="Arial" w:eastAsia="Arial" w:hAnsi="Arial" w:cs="Arial"/>
          <w:color w:val="222A33"/>
          <w:sz w:val="22"/>
          <w:szCs w:val="22"/>
        </w:rPr>
        <w:t xml:space="preserve"> is the stage where an organization gets its systems and services working safely and normally. In our investigation we used the </w:t>
      </w:r>
      <w:r>
        <w:rPr>
          <w:rFonts w:ascii="Arial" w:eastAsia="Arial" w:hAnsi="Arial" w:cs="Arial"/>
          <w:b/>
          <w:bCs/>
          <w:color w:val="16222F"/>
          <w:sz w:val="22"/>
          <w:szCs w:val="22"/>
        </w:rPr>
        <w:t>NIST Cybersecurity Framework</w:t>
      </w:r>
      <w:r>
        <w:rPr>
          <w:rFonts w:ascii="Arial" w:eastAsia="Arial" w:hAnsi="Arial" w:cs="Arial"/>
          <w:color w:val="222A33"/>
          <w:sz w:val="22"/>
          <w:szCs w:val="22"/>
        </w:rPr>
        <w:t xml:space="preserve"> (a widely used, free U.S. government playbook for managing cyber risk) approach. </w:t>
      </w:r>
    </w:p>
    <w:p w14:paraId="3D390397" w14:textId="77777777" w:rsidR="0077607C" w:rsidRDefault="0077607C" w:rsidP="0077607C">
      <w:pPr>
        <w:spacing w:after="140" w:line="276" w:lineRule="auto"/>
        <w:jc w:val="both"/>
        <w:rPr>
          <w:rFonts w:ascii="Arial" w:eastAsia="Arial" w:hAnsi="Arial" w:cs="Arial"/>
          <w:b/>
          <w:bCs/>
          <w:color w:val="215E99"/>
          <w:sz w:val="22"/>
          <w:szCs w:val="22"/>
        </w:rPr>
      </w:pPr>
      <w:r>
        <w:rPr>
          <w:rFonts w:ascii="Arial" w:eastAsia="Arial" w:hAnsi="Arial" w:cs="Arial"/>
          <w:b/>
          <w:bCs/>
          <w:color w:val="215E99"/>
          <w:sz w:val="22"/>
          <w:szCs w:val="22"/>
        </w:rPr>
        <w:t>What “Recovery” means</w:t>
      </w:r>
    </w:p>
    <w:p w14:paraId="4F4B91EB" w14:textId="77777777" w:rsidR="0077607C" w:rsidRDefault="0077607C" w:rsidP="0077607C">
      <w:pPr>
        <w:spacing w:after="140" w:line="276" w:lineRule="auto"/>
        <w:jc w:val="both"/>
        <w:rPr>
          <w:rFonts w:ascii="Arial" w:eastAsia="Arial" w:hAnsi="Arial" w:cs="Arial"/>
          <w:color w:val="222A33"/>
          <w:sz w:val="22"/>
          <w:szCs w:val="22"/>
        </w:rPr>
      </w:pPr>
      <w:r>
        <w:rPr>
          <w:rFonts w:ascii="Arial" w:eastAsia="Arial" w:hAnsi="Arial" w:cs="Arial"/>
          <w:color w:val="222A33"/>
          <w:sz w:val="22"/>
          <w:szCs w:val="22"/>
        </w:rPr>
        <w:t xml:space="preserve">In the framework, Recovery (the </w:t>
      </w:r>
      <w:r>
        <w:rPr>
          <w:rFonts w:ascii="Arial" w:eastAsia="Arial" w:hAnsi="Arial" w:cs="Arial"/>
          <w:b/>
          <w:bCs/>
          <w:color w:val="16222F"/>
          <w:sz w:val="22"/>
          <w:szCs w:val="22"/>
        </w:rPr>
        <w:t>RECOVER</w:t>
      </w:r>
      <w:r>
        <w:rPr>
          <w:rFonts w:ascii="Arial" w:eastAsia="Arial" w:hAnsi="Arial" w:cs="Arial"/>
          <w:color w:val="222A33"/>
          <w:sz w:val="22"/>
          <w:szCs w:val="22"/>
        </w:rPr>
        <w:t xml:space="preserve"> function) is simply this: </w:t>
      </w:r>
      <w:r>
        <w:rPr>
          <w:rFonts w:ascii="Arial" w:eastAsia="Arial" w:hAnsi="Arial" w:cs="Arial"/>
          <w:b/>
          <w:bCs/>
          <w:color w:val="16222F"/>
          <w:sz w:val="22"/>
          <w:szCs w:val="22"/>
        </w:rPr>
        <w:t xml:space="preserve">restore the assets and operations that the incident affected. </w:t>
      </w:r>
      <w:r>
        <w:rPr>
          <w:rFonts w:ascii="Arial" w:eastAsia="Arial" w:hAnsi="Arial" w:cs="Arial"/>
          <w:color w:val="222A33"/>
          <w:sz w:val="22"/>
          <w:szCs w:val="22"/>
        </w:rPr>
        <w:t>The goal is to bring things back to normal, safely and in good timing, while keeping people informed. It has two parts: getting systems back up (</w:t>
      </w:r>
      <w:r>
        <w:rPr>
          <w:rFonts w:ascii="Arial" w:eastAsia="Arial" w:hAnsi="Arial" w:cs="Arial"/>
          <w:b/>
          <w:bCs/>
          <w:color w:val="16222F"/>
          <w:sz w:val="22"/>
          <w:szCs w:val="22"/>
        </w:rPr>
        <w:t>Incident Recovery Plan Execution, RC.RP</w:t>
      </w:r>
      <w:r>
        <w:rPr>
          <w:rFonts w:ascii="Arial" w:eastAsia="Arial" w:hAnsi="Arial" w:cs="Arial"/>
          <w:color w:val="222A33"/>
          <w:sz w:val="22"/>
          <w:szCs w:val="22"/>
        </w:rPr>
        <w:t>) and keeping everyone informed (</w:t>
      </w:r>
      <w:r>
        <w:rPr>
          <w:rFonts w:ascii="Arial" w:eastAsia="Arial" w:hAnsi="Arial" w:cs="Arial"/>
          <w:b/>
          <w:bCs/>
          <w:color w:val="16222F"/>
          <w:sz w:val="22"/>
          <w:szCs w:val="22"/>
        </w:rPr>
        <w:t>Incident Recovery Communication, RC.CO</w:t>
      </w:r>
      <w:r>
        <w:rPr>
          <w:rFonts w:ascii="Arial" w:eastAsia="Arial" w:hAnsi="Arial" w:cs="Arial"/>
          <w:color w:val="222A33"/>
          <w:sz w:val="22"/>
          <w:szCs w:val="22"/>
        </w:rPr>
        <w:t>).</w:t>
      </w:r>
    </w:p>
    <w:p w14:paraId="2129CAF3" w14:textId="77777777" w:rsidR="0077607C" w:rsidRDefault="0077607C" w:rsidP="0077607C">
      <w:pPr>
        <w:pStyle w:val="Heading2"/>
        <w:spacing w:before="240" w:after="100" w:line="278" w:lineRule="auto"/>
        <w:jc w:val="both"/>
        <w:rPr>
          <w:rFonts w:ascii="Arial" w:eastAsia="Arial" w:hAnsi="Arial" w:cs="Arial"/>
          <w:b/>
          <w:bCs/>
          <w:color w:val="215E99"/>
          <w:sz w:val="22"/>
          <w:szCs w:val="22"/>
        </w:rPr>
      </w:pPr>
      <w:bookmarkStart w:id="0" w:name="_heading=h.4y9qi9prpqej" w:colFirst="0" w:colLast="0"/>
      <w:bookmarkEnd w:id="0"/>
      <w:r>
        <w:rPr>
          <w:rFonts w:ascii="Arial" w:eastAsia="Arial" w:hAnsi="Arial" w:cs="Arial"/>
          <w:b/>
          <w:bCs/>
          <w:color w:val="215E99"/>
          <w:sz w:val="22"/>
          <w:szCs w:val="22"/>
        </w:rPr>
        <w:t>The recovery steps, in order</w:t>
      </w:r>
    </w:p>
    <w:p w14:paraId="5B5B994D" w14:textId="77777777" w:rsidR="0077607C" w:rsidRDefault="0077607C" w:rsidP="0077607C">
      <w:pPr>
        <w:spacing w:after="100" w:line="276" w:lineRule="auto"/>
        <w:jc w:val="both"/>
        <w:rPr>
          <w:rFonts w:ascii="Arial" w:eastAsia="Arial" w:hAnsi="Arial" w:cs="Arial"/>
          <w:color w:val="222A33"/>
          <w:sz w:val="22"/>
          <w:szCs w:val="22"/>
        </w:rPr>
      </w:pPr>
      <w:r>
        <w:rPr>
          <w:rFonts w:ascii="Arial" w:eastAsia="Arial" w:hAnsi="Arial" w:cs="Arial"/>
          <w:color w:val="222A33"/>
          <w:sz w:val="22"/>
          <w:szCs w:val="22"/>
        </w:rPr>
        <w:t>Recovery is a careful, verified sequence:</w:t>
      </w:r>
    </w:p>
    <w:p w14:paraId="641514AF" w14:textId="77777777" w:rsidR="0077607C" w:rsidRDefault="0077607C" w:rsidP="0077607C">
      <w:pPr>
        <w:numPr>
          <w:ilvl w:val="0"/>
          <w:numId w:val="3"/>
        </w:numPr>
        <w:spacing w:line="271" w:lineRule="auto"/>
        <w:jc w:val="both"/>
        <w:rPr>
          <w:rFonts w:ascii="Arial" w:eastAsia="Arial" w:hAnsi="Arial" w:cs="Arial"/>
          <w:sz w:val="22"/>
          <w:szCs w:val="22"/>
        </w:rPr>
      </w:pPr>
      <w:r>
        <w:rPr>
          <w:rFonts w:ascii="Arial" w:eastAsia="Arial" w:hAnsi="Arial" w:cs="Arial"/>
          <w:color w:val="16222F"/>
          <w:sz w:val="22"/>
          <w:szCs w:val="22"/>
        </w:rPr>
        <w:t xml:space="preserve">Execute the plan. </w:t>
      </w:r>
      <w:r>
        <w:rPr>
          <w:rFonts w:ascii="Arial" w:eastAsia="Arial" w:hAnsi="Arial" w:cs="Arial"/>
          <w:color w:val="222A33"/>
          <w:sz w:val="22"/>
          <w:szCs w:val="22"/>
        </w:rPr>
        <w:t>Start the recovery plan you prepared in advance (Eg, Playbooks, Manuals, etc.).</w:t>
      </w:r>
    </w:p>
    <w:p w14:paraId="17C76521" w14:textId="77777777" w:rsidR="0077607C" w:rsidRDefault="0077607C" w:rsidP="0077607C">
      <w:pPr>
        <w:numPr>
          <w:ilvl w:val="0"/>
          <w:numId w:val="3"/>
        </w:numPr>
        <w:spacing w:line="271" w:lineRule="auto"/>
        <w:jc w:val="both"/>
        <w:rPr>
          <w:rFonts w:ascii="Arial" w:eastAsia="Arial" w:hAnsi="Arial" w:cs="Arial"/>
          <w:sz w:val="22"/>
          <w:szCs w:val="22"/>
        </w:rPr>
      </w:pPr>
      <w:r>
        <w:rPr>
          <w:rFonts w:ascii="Arial" w:eastAsia="Arial" w:hAnsi="Arial" w:cs="Arial"/>
          <w:color w:val="16222F"/>
          <w:sz w:val="22"/>
          <w:szCs w:val="22"/>
        </w:rPr>
        <w:t xml:space="preserve">Prioritize. </w:t>
      </w:r>
      <w:r>
        <w:rPr>
          <w:rFonts w:ascii="Arial" w:eastAsia="Arial" w:hAnsi="Arial" w:cs="Arial"/>
          <w:color w:val="222A33"/>
          <w:sz w:val="22"/>
          <w:szCs w:val="22"/>
        </w:rPr>
        <w:t>Decide what to restore first, based on what matters most.</w:t>
      </w:r>
    </w:p>
    <w:p w14:paraId="577F5783" w14:textId="77777777" w:rsidR="0077607C" w:rsidRDefault="0077607C" w:rsidP="0077607C">
      <w:pPr>
        <w:numPr>
          <w:ilvl w:val="0"/>
          <w:numId w:val="3"/>
        </w:numPr>
        <w:spacing w:line="271" w:lineRule="auto"/>
        <w:jc w:val="both"/>
        <w:rPr>
          <w:rFonts w:ascii="Arial" w:eastAsia="Arial" w:hAnsi="Arial" w:cs="Arial"/>
          <w:sz w:val="22"/>
          <w:szCs w:val="22"/>
        </w:rPr>
      </w:pPr>
      <w:r>
        <w:rPr>
          <w:rFonts w:ascii="Arial" w:eastAsia="Arial" w:hAnsi="Arial" w:cs="Arial"/>
          <w:color w:val="16222F"/>
          <w:sz w:val="22"/>
          <w:szCs w:val="22"/>
        </w:rPr>
        <w:t xml:space="preserve">Verify backups. </w:t>
      </w:r>
      <w:r>
        <w:rPr>
          <w:rFonts w:ascii="Arial" w:eastAsia="Arial" w:hAnsi="Arial" w:cs="Arial"/>
          <w:color w:val="222A33"/>
          <w:sz w:val="22"/>
          <w:szCs w:val="22"/>
        </w:rPr>
        <w:t>Check that your backups (saved copies of data) are clean and trustworthy before using them.</w:t>
      </w:r>
    </w:p>
    <w:p w14:paraId="4B4D2317" w14:textId="77777777" w:rsidR="0077607C" w:rsidRDefault="0077607C" w:rsidP="0077607C">
      <w:pPr>
        <w:numPr>
          <w:ilvl w:val="0"/>
          <w:numId w:val="3"/>
        </w:numPr>
        <w:spacing w:line="271" w:lineRule="auto"/>
        <w:jc w:val="both"/>
        <w:rPr>
          <w:rFonts w:ascii="Arial" w:eastAsia="Arial" w:hAnsi="Arial" w:cs="Arial"/>
          <w:sz w:val="22"/>
          <w:szCs w:val="22"/>
        </w:rPr>
      </w:pPr>
      <w:r>
        <w:rPr>
          <w:rFonts w:ascii="Arial" w:eastAsia="Arial" w:hAnsi="Arial" w:cs="Arial"/>
          <w:color w:val="16222F"/>
          <w:sz w:val="22"/>
          <w:szCs w:val="22"/>
        </w:rPr>
        <w:t xml:space="preserve">Restore and confirm. </w:t>
      </w:r>
      <w:r>
        <w:rPr>
          <w:rFonts w:ascii="Arial" w:eastAsia="Arial" w:hAnsi="Arial" w:cs="Arial"/>
          <w:color w:val="222A33"/>
          <w:sz w:val="22"/>
          <w:szCs w:val="22"/>
        </w:rPr>
        <w:t>Restore the systems and confirm they are truly back to normal.</w:t>
      </w:r>
    </w:p>
    <w:p w14:paraId="694815C6" w14:textId="77777777" w:rsidR="0077607C" w:rsidRDefault="0077607C" w:rsidP="0077607C">
      <w:pPr>
        <w:numPr>
          <w:ilvl w:val="0"/>
          <w:numId w:val="3"/>
        </w:numPr>
        <w:spacing w:line="271" w:lineRule="auto"/>
        <w:jc w:val="both"/>
        <w:rPr>
          <w:rFonts w:ascii="Arial" w:eastAsia="Arial" w:hAnsi="Arial" w:cs="Arial"/>
          <w:sz w:val="22"/>
          <w:szCs w:val="22"/>
        </w:rPr>
      </w:pPr>
      <w:r>
        <w:rPr>
          <w:rFonts w:ascii="Arial" w:eastAsia="Arial" w:hAnsi="Arial" w:cs="Arial"/>
          <w:color w:val="16222F"/>
          <w:sz w:val="22"/>
          <w:szCs w:val="22"/>
        </w:rPr>
        <w:t xml:space="preserve">Set new norms. </w:t>
      </w:r>
      <w:r>
        <w:rPr>
          <w:rFonts w:ascii="Arial" w:eastAsia="Arial" w:hAnsi="Arial" w:cs="Arial"/>
          <w:color w:val="222A33"/>
          <w:sz w:val="22"/>
          <w:szCs w:val="22"/>
        </w:rPr>
        <w:t>Set new, safer “normal” rules for operating after the incident.</w:t>
      </w:r>
    </w:p>
    <w:p w14:paraId="0D7846C4" w14:textId="77777777" w:rsidR="0077607C" w:rsidRDefault="0077607C" w:rsidP="0077607C">
      <w:pPr>
        <w:numPr>
          <w:ilvl w:val="0"/>
          <w:numId w:val="3"/>
        </w:numPr>
        <w:spacing w:after="100" w:line="271" w:lineRule="auto"/>
        <w:jc w:val="both"/>
        <w:rPr>
          <w:rFonts w:ascii="Arial" w:eastAsia="Arial" w:hAnsi="Arial" w:cs="Arial"/>
          <w:sz w:val="22"/>
          <w:szCs w:val="22"/>
        </w:rPr>
      </w:pPr>
      <w:r>
        <w:rPr>
          <w:rFonts w:ascii="Arial" w:eastAsia="Arial" w:hAnsi="Arial" w:cs="Arial"/>
          <w:color w:val="16222F"/>
          <w:sz w:val="22"/>
          <w:szCs w:val="22"/>
        </w:rPr>
        <w:t xml:space="preserve">Close it out. </w:t>
      </w:r>
      <w:r>
        <w:rPr>
          <w:rFonts w:ascii="Arial" w:eastAsia="Arial" w:hAnsi="Arial" w:cs="Arial"/>
          <w:color w:val="222A33"/>
          <w:sz w:val="22"/>
          <w:szCs w:val="22"/>
        </w:rPr>
        <w:t>Officially declare recovery finished, but only when it meets agreed criteria and all the important points of the attack have been documented.</w:t>
      </w:r>
    </w:p>
    <w:p w14:paraId="5A3F8E04" w14:textId="77777777" w:rsidR="0077607C" w:rsidRDefault="0077607C" w:rsidP="0077607C">
      <w:pPr>
        <w:spacing w:after="140" w:line="276" w:lineRule="auto"/>
        <w:jc w:val="both"/>
        <w:rPr>
          <w:rFonts w:ascii="Arial" w:eastAsia="Arial" w:hAnsi="Arial" w:cs="Arial"/>
          <w:b/>
          <w:bCs/>
          <w:color w:val="215E99"/>
          <w:sz w:val="22"/>
          <w:szCs w:val="22"/>
        </w:rPr>
      </w:pPr>
      <w:r>
        <w:rPr>
          <w:rFonts w:ascii="Arial" w:eastAsia="Arial" w:hAnsi="Arial" w:cs="Arial"/>
          <w:b/>
          <w:bCs/>
          <w:color w:val="16222F"/>
          <w:sz w:val="22"/>
          <w:szCs w:val="22"/>
        </w:rPr>
        <w:t xml:space="preserve">The golden rule: </w:t>
      </w:r>
      <w:proofErr w:type="gramStart"/>
      <w:r>
        <w:rPr>
          <w:rFonts w:ascii="Arial" w:eastAsia="Arial" w:hAnsi="Arial" w:cs="Arial"/>
          <w:b/>
          <w:bCs/>
          <w:color w:val="16222F"/>
          <w:sz w:val="22"/>
          <w:szCs w:val="22"/>
        </w:rPr>
        <w:t>trust, but</w:t>
      </w:r>
      <w:proofErr w:type="gramEnd"/>
      <w:r>
        <w:rPr>
          <w:rFonts w:ascii="Arial" w:eastAsia="Arial" w:hAnsi="Arial" w:cs="Arial"/>
          <w:b/>
          <w:bCs/>
          <w:color w:val="16222F"/>
          <w:sz w:val="22"/>
          <w:szCs w:val="22"/>
        </w:rPr>
        <w:t xml:space="preserve"> verify. </w:t>
      </w:r>
      <w:r>
        <w:rPr>
          <w:rFonts w:ascii="Arial" w:eastAsia="Arial" w:hAnsi="Arial" w:cs="Arial"/>
          <w:color w:val="222A33"/>
          <w:sz w:val="22"/>
          <w:szCs w:val="22"/>
        </w:rPr>
        <w:t xml:space="preserve">Check backups before you use </w:t>
      </w:r>
      <w:proofErr w:type="gramStart"/>
      <w:r>
        <w:rPr>
          <w:rFonts w:ascii="Arial" w:eastAsia="Arial" w:hAnsi="Arial" w:cs="Arial"/>
          <w:color w:val="222A33"/>
          <w:sz w:val="22"/>
          <w:szCs w:val="22"/>
        </w:rPr>
        <w:t>them, and</w:t>
      </w:r>
      <w:proofErr w:type="gramEnd"/>
      <w:r>
        <w:rPr>
          <w:rFonts w:ascii="Arial" w:eastAsia="Arial" w:hAnsi="Arial" w:cs="Arial"/>
          <w:color w:val="222A33"/>
          <w:sz w:val="22"/>
          <w:szCs w:val="22"/>
        </w:rPr>
        <w:t xml:space="preserve"> check restored systems afterward.</w:t>
      </w:r>
    </w:p>
    <w:p w14:paraId="53380DDD" w14:textId="77777777" w:rsidR="0077607C" w:rsidRDefault="0077607C" w:rsidP="0077607C">
      <w:pPr>
        <w:pStyle w:val="Heading2"/>
        <w:spacing w:before="240" w:after="100" w:line="278" w:lineRule="auto"/>
        <w:jc w:val="both"/>
        <w:rPr>
          <w:rFonts w:ascii="Arial" w:eastAsia="Arial" w:hAnsi="Arial" w:cs="Arial"/>
          <w:b/>
          <w:bCs/>
          <w:color w:val="215E99"/>
          <w:sz w:val="22"/>
          <w:szCs w:val="22"/>
        </w:rPr>
      </w:pPr>
      <w:bookmarkStart w:id="1" w:name="_heading=h.httj0foo1zeg" w:colFirst="0" w:colLast="0"/>
      <w:bookmarkEnd w:id="1"/>
      <w:r>
        <w:rPr>
          <w:rFonts w:ascii="Arial" w:eastAsia="Arial" w:hAnsi="Arial" w:cs="Arial"/>
          <w:b/>
          <w:bCs/>
          <w:color w:val="215E99"/>
          <w:sz w:val="22"/>
          <w:szCs w:val="22"/>
        </w:rPr>
        <w:t>Why a zero-day makes recovery harder</w:t>
      </w:r>
    </w:p>
    <w:p w14:paraId="2878AC08" w14:textId="77777777" w:rsidR="0077607C" w:rsidRDefault="0077607C" w:rsidP="0077607C">
      <w:pPr>
        <w:spacing w:after="100" w:line="276" w:lineRule="auto"/>
        <w:jc w:val="both"/>
        <w:rPr>
          <w:rFonts w:ascii="Arial" w:eastAsia="Arial" w:hAnsi="Arial" w:cs="Arial"/>
          <w:color w:val="222A33"/>
          <w:sz w:val="22"/>
          <w:szCs w:val="22"/>
        </w:rPr>
      </w:pPr>
      <w:r>
        <w:rPr>
          <w:rFonts w:ascii="Arial" w:eastAsia="Arial" w:hAnsi="Arial" w:cs="Arial"/>
          <w:color w:val="222A33"/>
          <w:sz w:val="22"/>
          <w:szCs w:val="22"/>
        </w:rPr>
        <w:t>A zero-day breaks three things we normally take for granted:</w:t>
      </w:r>
    </w:p>
    <w:p w14:paraId="386C7317" w14:textId="77777777" w:rsidR="0077607C" w:rsidRDefault="0077607C" w:rsidP="0077607C">
      <w:pPr>
        <w:numPr>
          <w:ilvl w:val="0"/>
          <w:numId w:val="7"/>
        </w:numPr>
        <w:spacing w:line="271" w:lineRule="auto"/>
        <w:jc w:val="both"/>
        <w:rPr>
          <w:rFonts w:ascii="Arial" w:eastAsia="Arial" w:hAnsi="Arial" w:cs="Arial"/>
          <w:sz w:val="22"/>
          <w:szCs w:val="22"/>
        </w:rPr>
      </w:pPr>
      <w:r>
        <w:rPr>
          <w:rFonts w:ascii="Arial" w:eastAsia="Arial" w:hAnsi="Arial" w:cs="Arial"/>
          <w:color w:val="16222F"/>
          <w:sz w:val="22"/>
          <w:szCs w:val="22"/>
        </w:rPr>
        <w:t xml:space="preserve">No fix exists yet. </w:t>
      </w:r>
      <w:r>
        <w:rPr>
          <w:rFonts w:ascii="Arial" w:eastAsia="Arial" w:hAnsi="Arial" w:cs="Arial"/>
          <w:color w:val="222A33"/>
          <w:sz w:val="22"/>
          <w:szCs w:val="22"/>
        </w:rPr>
        <w:t>You might restore a system only to find it is still open to the same attack. Until the vendor releases a patch, you must add temporary protections (“compensating controls”).</w:t>
      </w:r>
    </w:p>
    <w:p w14:paraId="33881E6F" w14:textId="77777777" w:rsidR="0077607C" w:rsidRDefault="0077607C" w:rsidP="0077607C">
      <w:pPr>
        <w:numPr>
          <w:ilvl w:val="0"/>
          <w:numId w:val="7"/>
        </w:numPr>
        <w:spacing w:line="271" w:lineRule="auto"/>
        <w:jc w:val="both"/>
        <w:rPr>
          <w:rFonts w:ascii="Arial" w:eastAsia="Arial" w:hAnsi="Arial" w:cs="Arial"/>
          <w:sz w:val="22"/>
          <w:szCs w:val="22"/>
        </w:rPr>
      </w:pPr>
      <w:r>
        <w:rPr>
          <w:rFonts w:ascii="Arial" w:eastAsia="Arial" w:hAnsi="Arial" w:cs="Arial"/>
          <w:color w:val="16222F"/>
          <w:sz w:val="22"/>
          <w:szCs w:val="22"/>
        </w:rPr>
        <w:t xml:space="preserve">Your backups might already be infected. </w:t>
      </w:r>
      <w:r>
        <w:rPr>
          <w:rFonts w:ascii="Arial" w:eastAsia="Arial" w:hAnsi="Arial" w:cs="Arial"/>
          <w:color w:val="222A33"/>
          <w:sz w:val="22"/>
          <w:szCs w:val="22"/>
        </w:rPr>
        <w:t>Attackers often get in well before anyone notices, so even saved copies can hide their tools. That is why you verify backups first.</w:t>
      </w:r>
    </w:p>
    <w:p w14:paraId="08046371" w14:textId="77777777" w:rsidR="0077607C" w:rsidRDefault="0077607C" w:rsidP="0077607C">
      <w:pPr>
        <w:numPr>
          <w:ilvl w:val="0"/>
          <w:numId w:val="7"/>
        </w:numPr>
        <w:spacing w:after="100" w:line="271" w:lineRule="auto"/>
        <w:jc w:val="both"/>
        <w:rPr>
          <w:rFonts w:ascii="Arial" w:eastAsia="Arial" w:hAnsi="Arial" w:cs="Arial"/>
          <w:sz w:val="22"/>
          <w:szCs w:val="22"/>
        </w:rPr>
      </w:pPr>
      <w:r>
        <w:rPr>
          <w:rFonts w:ascii="Arial" w:eastAsia="Arial" w:hAnsi="Arial" w:cs="Arial"/>
          <w:color w:val="16222F"/>
          <w:sz w:val="22"/>
          <w:szCs w:val="22"/>
        </w:rPr>
        <w:t xml:space="preserve">The attacker might survive the cleanup. </w:t>
      </w:r>
      <w:r>
        <w:rPr>
          <w:rFonts w:ascii="Arial" w:eastAsia="Arial" w:hAnsi="Arial" w:cs="Arial"/>
          <w:color w:val="222A33"/>
          <w:sz w:val="22"/>
          <w:szCs w:val="22"/>
        </w:rPr>
        <w:t>Some malicious code can outlast a restart, or even a full factory reset.</w:t>
      </w:r>
    </w:p>
    <w:p w14:paraId="2B6794BC" w14:textId="77777777" w:rsidR="0077607C" w:rsidRDefault="0077607C" w:rsidP="0077607C">
      <w:pPr>
        <w:spacing w:after="140" w:line="276" w:lineRule="auto"/>
        <w:jc w:val="both"/>
        <w:rPr>
          <w:rFonts w:ascii="Arial" w:eastAsia="Arial" w:hAnsi="Arial" w:cs="Arial"/>
          <w:color w:val="222A33"/>
          <w:sz w:val="22"/>
          <w:szCs w:val="22"/>
        </w:rPr>
      </w:pPr>
      <w:r>
        <w:rPr>
          <w:rFonts w:ascii="Arial" w:eastAsia="Arial" w:hAnsi="Arial" w:cs="Arial"/>
          <w:b/>
          <w:bCs/>
          <w:color w:val="16222F"/>
          <w:sz w:val="22"/>
          <w:szCs w:val="22"/>
        </w:rPr>
        <w:lastRenderedPageBreak/>
        <w:t xml:space="preserve">Real example: </w:t>
      </w:r>
      <w:r>
        <w:rPr>
          <w:rFonts w:ascii="Arial" w:eastAsia="Arial" w:hAnsi="Arial" w:cs="Arial"/>
          <w:color w:val="222A33"/>
          <w:sz w:val="22"/>
          <w:szCs w:val="22"/>
        </w:rPr>
        <w:t xml:space="preserve">In 2025, for a set of zero-day flaws in Cisco security devices, the U.S. cyber agency </w:t>
      </w:r>
      <w:r>
        <w:rPr>
          <w:rFonts w:ascii="Arial" w:eastAsia="Arial" w:hAnsi="Arial" w:cs="Arial"/>
          <w:b/>
          <w:bCs/>
          <w:color w:val="16222F"/>
          <w:sz w:val="22"/>
          <w:szCs w:val="22"/>
        </w:rPr>
        <w:t>CISA</w:t>
      </w:r>
      <w:r>
        <w:rPr>
          <w:rFonts w:ascii="Arial" w:eastAsia="Arial" w:hAnsi="Arial" w:cs="Arial"/>
          <w:color w:val="222A33"/>
          <w:sz w:val="22"/>
          <w:szCs w:val="22"/>
        </w:rPr>
        <w:t xml:space="preserve"> warned that rebooting was not enough and required a </w:t>
      </w:r>
      <w:r>
        <w:rPr>
          <w:rFonts w:ascii="Arial" w:eastAsia="Arial" w:hAnsi="Arial" w:cs="Arial"/>
          <w:b/>
          <w:bCs/>
          <w:color w:val="16222F"/>
          <w:sz w:val="22"/>
          <w:szCs w:val="22"/>
        </w:rPr>
        <w:t>physical hard reset</w:t>
      </w:r>
      <w:r>
        <w:rPr>
          <w:rFonts w:ascii="Arial" w:eastAsia="Arial" w:hAnsi="Arial" w:cs="Arial"/>
          <w:color w:val="222A33"/>
          <w:sz w:val="22"/>
          <w:szCs w:val="22"/>
        </w:rPr>
        <w:t>, because the malware had buried itself in the device's read-only memory. In the worst cases, “recovery” means rebuilding from scratch or even replacing hardware.</w:t>
      </w:r>
    </w:p>
    <w:p w14:paraId="3FC1A9FE" w14:textId="77777777" w:rsidR="0077607C" w:rsidRDefault="0077607C" w:rsidP="0077607C">
      <w:pPr>
        <w:pStyle w:val="Heading2"/>
        <w:spacing w:before="240" w:after="100" w:line="278" w:lineRule="auto"/>
        <w:jc w:val="both"/>
        <w:rPr>
          <w:rFonts w:ascii="Arial" w:eastAsia="Arial" w:hAnsi="Arial" w:cs="Arial"/>
          <w:b/>
          <w:bCs/>
          <w:color w:val="215E99"/>
          <w:sz w:val="22"/>
          <w:szCs w:val="22"/>
        </w:rPr>
      </w:pPr>
      <w:bookmarkStart w:id="2" w:name="_heading=h.56coiu220vbp" w:colFirst="0" w:colLast="0"/>
      <w:bookmarkEnd w:id="2"/>
      <w:r>
        <w:rPr>
          <w:rFonts w:ascii="Arial" w:eastAsia="Arial" w:hAnsi="Arial" w:cs="Arial"/>
          <w:b/>
          <w:bCs/>
          <w:color w:val="215E99"/>
          <w:sz w:val="22"/>
          <w:szCs w:val="22"/>
        </w:rPr>
        <w:t>Trusted tools that help</w:t>
      </w:r>
    </w:p>
    <w:p w14:paraId="03A349DF" w14:textId="77777777" w:rsidR="0077607C" w:rsidRDefault="0077607C" w:rsidP="0077607C">
      <w:pPr>
        <w:numPr>
          <w:ilvl w:val="0"/>
          <w:numId w:val="6"/>
        </w:numPr>
        <w:spacing w:line="276" w:lineRule="auto"/>
        <w:jc w:val="both"/>
        <w:rPr>
          <w:rFonts w:ascii="Arial" w:eastAsia="Arial" w:hAnsi="Arial" w:cs="Arial"/>
          <w:sz w:val="22"/>
          <w:szCs w:val="22"/>
        </w:rPr>
      </w:pPr>
      <w:r>
        <w:rPr>
          <w:rFonts w:ascii="Arial" w:eastAsia="Arial" w:hAnsi="Arial" w:cs="Arial"/>
          <w:color w:val="16222F"/>
          <w:sz w:val="22"/>
          <w:szCs w:val="22"/>
        </w:rPr>
        <w:t xml:space="preserve">MITRE D3FEND: </w:t>
      </w:r>
      <w:r>
        <w:rPr>
          <w:rFonts w:ascii="Arial" w:eastAsia="Arial" w:hAnsi="Arial" w:cs="Arial"/>
          <w:color w:val="222A33"/>
          <w:sz w:val="22"/>
          <w:szCs w:val="22"/>
        </w:rPr>
        <w:t>Its “Restore” step describes how to return systems to a known-good state.</w:t>
      </w:r>
    </w:p>
    <w:p w14:paraId="2A55A643" w14:textId="77777777" w:rsidR="0077607C" w:rsidRDefault="0077607C" w:rsidP="0077607C">
      <w:pPr>
        <w:numPr>
          <w:ilvl w:val="0"/>
          <w:numId w:val="6"/>
        </w:numPr>
        <w:spacing w:line="271" w:lineRule="auto"/>
        <w:jc w:val="both"/>
        <w:rPr>
          <w:rFonts w:ascii="Arial" w:eastAsia="Arial" w:hAnsi="Arial" w:cs="Arial"/>
          <w:sz w:val="22"/>
          <w:szCs w:val="22"/>
        </w:rPr>
      </w:pPr>
      <w:r>
        <w:rPr>
          <w:rFonts w:ascii="Arial" w:eastAsia="Arial" w:hAnsi="Arial" w:cs="Arial"/>
          <w:color w:val="16222F"/>
          <w:sz w:val="22"/>
          <w:szCs w:val="22"/>
        </w:rPr>
        <w:t xml:space="preserve">CVSS 4.0: </w:t>
      </w:r>
      <w:r>
        <w:rPr>
          <w:rFonts w:ascii="Arial" w:eastAsia="Arial" w:hAnsi="Arial" w:cs="Arial"/>
          <w:color w:val="222A33"/>
          <w:sz w:val="22"/>
          <w:szCs w:val="22"/>
        </w:rPr>
        <w:t>Version 4 adds a “Recovery” label that flags whether a system can bounce back automatically, needs a person to fix it, or is beyond repair.</w:t>
      </w:r>
    </w:p>
    <w:p w14:paraId="32D81F4C" w14:textId="77777777" w:rsidR="0077607C" w:rsidRDefault="0077607C" w:rsidP="0077607C">
      <w:pPr>
        <w:numPr>
          <w:ilvl w:val="0"/>
          <w:numId w:val="6"/>
        </w:numPr>
        <w:spacing w:line="271" w:lineRule="auto"/>
        <w:jc w:val="both"/>
        <w:rPr>
          <w:rFonts w:ascii="Arial" w:eastAsia="Arial" w:hAnsi="Arial" w:cs="Arial"/>
          <w:sz w:val="22"/>
          <w:szCs w:val="22"/>
        </w:rPr>
      </w:pPr>
      <w:r>
        <w:rPr>
          <w:rFonts w:ascii="Arial" w:eastAsia="Arial" w:hAnsi="Arial" w:cs="Arial"/>
          <w:color w:val="16222F"/>
          <w:sz w:val="22"/>
          <w:szCs w:val="22"/>
        </w:rPr>
        <w:t xml:space="preserve">CISA: </w:t>
      </w:r>
      <w:r>
        <w:rPr>
          <w:rFonts w:ascii="Arial" w:eastAsia="Arial" w:hAnsi="Arial" w:cs="Arial"/>
          <w:color w:val="222A33"/>
          <w:sz w:val="22"/>
          <w:szCs w:val="22"/>
        </w:rPr>
        <w:t>This U.S. Agency offers free help: an “Eviction Strategies” tool for removing attackers, a public list of vulnerabilities known to be under active attack (the KEV catalog), and emergency directives that set deadlines to act while no patch exists.</w:t>
      </w:r>
    </w:p>
    <w:p w14:paraId="283580FA" w14:textId="77777777" w:rsidR="0077607C" w:rsidRDefault="0077607C" w:rsidP="0077607C">
      <w:pPr>
        <w:numPr>
          <w:ilvl w:val="0"/>
          <w:numId w:val="6"/>
        </w:numPr>
        <w:spacing w:after="100" w:line="271" w:lineRule="auto"/>
        <w:jc w:val="both"/>
        <w:rPr>
          <w:rFonts w:ascii="Arial" w:eastAsia="Arial" w:hAnsi="Arial" w:cs="Arial"/>
          <w:sz w:val="22"/>
          <w:szCs w:val="22"/>
        </w:rPr>
      </w:pPr>
      <w:r>
        <w:rPr>
          <w:rFonts w:ascii="Arial" w:eastAsia="Arial" w:hAnsi="Arial" w:cs="Arial"/>
          <w:color w:val="16222F"/>
          <w:sz w:val="22"/>
          <w:szCs w:val="22"/>
        </w:rPr>
        <w:t xml:space="preserve">NIST SP 800-184: </w:t>
      </w:r>
      <w:r>
        <w:rPr>
          <w:rFonts w:ascii="Arial" w:eastAsia="Arial" w:hAnsi="Arial" w:cs="Arial"/>
          <w:color w:val="222A33"/>
          <w:sz w:val="22"/>
          <w:szCs w:val="22"/>
        </w:rPr>
        <w:t>a dedicated guide on cyber-event recovery (how to plan it, practice it, and measure it).</w:t>
      </w:r>
    </w:p>
    <w:p w14:paraId="27A1AC8C" w14:textId="77777777" w:rsidR="0077607C" w:rsidRDefault="0077607C" w:rsidP="0077607C">
      <w:pPr>
        <w:pStyle w:val="Heading2"/>
        <w:spacing w:before="240" w:after="100" w:line="278" w:lineRule="auto"/>
        <w:jc w:val="both"/>
        <w:rPr>
          <w:rFonts w:ascii="Arial" w:eastAsia="Arial" w:hAnsi="Arial" w:cs="Arial"/>
          <w:b/>
          <w:bCs/>
          <w:color w:val="215E99"/>
          <w:sz w:val="22"/>
          <w:szCs w:val="22"/>
        </w:rPr>
      </w:pPr>
      <w:bookmarkStart w:id="3" w:name="_heading=h.b1z2fnjg2rma" w:colFirst="0" w:colLast="0"/>
      <w:bookmarkEnd w:id="3"/>
      <w:r>
        <w:rPr>
          <w:rFonts w:ascii="Arial" w:eastAsia="Arial" w:hAnsi="Arial" w:cs="Arial"/>
          <w:b/>
          <w:bCs/>
          <w:color w:val="215E99"/>
          <w:sz w:val="22"/>
          <w:szCs w:val="22"/>
        </w:rPr>
        <w:t>Communicate and confirm</w:t>
      </w:r>
    </w:p>
    <w:p w14:paraId="00653368" w14:textId="77777777" w:rsidR="0077607C" w:rsidRDefault="0077607C" w:rsidP="0077607C">
      <w:pPr>
        <w:spacing w:after="140" w:line="276" w:lineRule="auto"/>
        <w:jc w:val="both"/>
        <w:rPr>
          <w:rFonts w:ascii="Arial" w:eastAsia="Arial" w:hAnsi="Arial" w:cs="Arial"/>
          <w:color w:val="222A33"/>
          <w:sz w:val="22"/>
          <w:szCs w:val="22"/>
        </w:rPr>
      </w:pPr>
      <w:r>
        <w:rPr>
          <w:rFonts w:ascii="Arial" w:eastAsia="Arial" w:hAnsi="Arial" w:cs="Arial"/>
          <w:color w:val="222A33"/>
          <w:sz w:val="22"/>
          <w:szCs w:val="22"/>
        </w:rPr>
        <w:t xml:space="preserve">Recovery isn't done until it is both </w:t>
      </w:r>
      <w:r>
        <w:rPr>
          <w:rFonts w:ascii="Arial" w:eastAsia="Arial" w:hAnsi="Arial" w:cs="Arial"/>
          <w:b/>
          <w:bCs/>
          <w:color w:val="16222F"/>
          <w:sz w:val="22"/>
          <w:szCs w:val="22"/>
        </w:rPr>
        <w:t>verified</w:t>
      </w:r>
      <w:r>
        <w:rPr>
          <w:rFonts w:ascii="Arial" w:eastAsia="Arial" w:hAnsi="Arial" w:cs="Arial"/>
          <w:color w:val="222A33"/>
          <w:sz w:val="22"/>
          <w:szCs w:val="22"/>
        </w:rPr>
        <w:t xml:space="preserve"> and </w:t>
      </w:r>
      <w:r>
        <w:rPr>
          <w:rFonts w:ascii="Arial" w:eastAsia="Arial" w:hAnsi="Arial" w:cs="Arial"/>
          <w:b/>
          <w:bCs/>
          <w:color w:val="16222F"/>
          <w:sz w:val="22"/>
          <w:szCs w:val="22"/>
        </w:rPr>
        <w:t>communicated</w:t>
      </w:r>
      <w:r>
        <w:rPr>
          <w:rFonts w:ascii="Arial" w:eastAsia="Arial" w:hAnsi="Arial" w:cs="Arial"/>
          <w:color w:val="222A33"/>
          <w:sz w:val="22"/>
          <w:szCs w:val="22"/>
        </w:rPr>
        <w:t>. Keep people updated (customers, partners, regulators) and share public updates through approved channels. Declare “all clear” only when it meets agreed criteria. With a zero-day, whose full reach may be unknown, it is wise not to rush that call. Finally, turn the experience into lessons that strengthen future defenses.</w:t>
      </w:r>
    </w:p>
    <w:p w14:paraId="4571C744" w14:textId="77777777" w:rsidR="0077607C" w:rsidRDefault="0077607C" w:rsidP="0077607C">
      <w:pPr>
        <w:spacing w:after="160" w:line="278" w:lineRule="auto"/>
        <w:jc w:val="both"/>
        <w:rPr>
          <w:rFonts w:ascii="Arial" w:eastAsia="Arial" w:hAnsi="Arial" w:cs="Arial"/>
          <w:b/>
          <w:bCs/>
          <w:sz w:val="22"/>
          <w:szCs w:val="22"/>
          <w:u w:val="single"/>
        </w:rPr>
      </w:pPr>
    </w:p>
    <w:p w14:paraId="38F6552B" w14:textId="77777777" w:rsidR="0077607C" w:rsidRDefault="0077607C" w:rsidP="0077607C">
      <w:pPr>
        <w:spacing w:after="160" w:line="278" w:lineRule="auto"/>
        <w:jc w:val="both"/>
        <w:rPr>
          <w:rFonts w:ascii="Arial" w:eastAsia="Arial" w:hAnsi="Arial" w:cs="Arial"/>
          <w:b/>
          <w:bCs/>
          <w:sz w:val="22"/>
          <w:szCs w:val="22"/>
          <w:u w:val="single"/>
        </w:rPr>
      </w:pPr>
    </w:p>
    <w:p w14:paraId="5D2E3633" w14:textId="77777777" w:rsidR="0077607C" w:rsidRDefault="0077607C" w:rsidP="0077607C">
      <w:pPr>
        <w:spacing w:after="160" w:line="278" w:lineRule="auto"/>
        <w:jc w:val="both"/>
        <w:rPr>
          <w:rFonts w:ascii="Arial" w:eastAsia="Arial" w:hAnsi="Arial" w:cs="Arial"/>
          <w:b/>
          <w:bCs/>
          <w:sz w:val="22"/>
          <w:szCs w:val="22"/>
        </w:rPr>
      </w:pPr>
    </w:p>
    <w:p w14:paraId="50E22BBA" w14:textId="77777777" w:rsidR="0077607C" w:rsidRDefault="0077607C" w:rsidP="0077607C">
      <w:pPr>
        <w:spacing w:after="160" w:line="278" w:lineRule="auto"/>
        <w:jc w:val="both"/>
        <w:rPr>
          <w:rFonts w:ascii="Arial" w:eastAsia="Arial" w:hAnsi="Arial" w:cs="Arial"/>
          <w:b/>
          <w:bCs/>
          <w:sz w:val="22"/>
          <w:szCs w:val="22"/>
        </w:rPr>
      </w:pPr>
    </w:p>
    <w:p w14:paraId="0FB45950" w14:textId="77777777" w:rsidR="0077607C" w:rsidRDefault="0077607C" w:rsidP="0077607C">
      <w:pPr>
        <w:spacing w:after="160" w:line="278" w:lineRule="auto"/>
        <w:jc w:val="both"/>
        <w:rPr>
          <w:rFonts w:ascii="Arial" w:eastAsia="Arial" w:hAnsi="Arial" w:cs="Arial"/>
          <w:b/>
          <w:bCs/>
          <w:sz w:val="22"/>
          <w:szCs w:val="22"/>
        </w:rPr>
      </w:pPr>
    </w:p>
    <w:p w14:paraId="14D30444" w14:textId="77777777" w:rsidR="0077607C" w:rsidRDefault="0077607C" w:rsidP="0077607C">
      <w:pPr>
        <w:spacing w:after="160" w:line="278" w:lineRule="auto"/>
        <w:jc w:val="both"/>
        <w:rPr>
          <w:rFonts w:ascii="Arial" w:eastAsia="Arial" w:hAnsi="Arial" w:cs="Arial"/>
          <w:b/>
          <w:bCs/>
          <w:sz w:val="22"/>
          <w:szCs w:val="22"/>
        </w:rPr>
      </w:pPr>
    </w:p>
    <w:p w14:paraId="7E577300" w14:textId="77777777" w:rsidR="0077607C" w:rsidRDefault="0077607C" w:rsidP="0077607C">
      <w:pPr>
        <w:spacing w:after="160" w:line="278" w:lineRule="auto"/>
        <w:jc w:val="both"/>
        <w:rPr>
          <w:rFonts w:ascii="Arial" w:eastAsia="Arial" w:hAnsi="Arial" w:cs="Arial"/>
          <w:b/>
          <w:bCs/>
          <w:sz w:val="22"/>
          <w:szCs w:val="22"/>
        </w:rPr>
      </w:pPr>
    </w:p>
    <w:p w14:paraId="7BE3C015" w14:textId="77777777" w:rsidR="0077607C" w:rsidRDefault="0077607C" w:rsidP="0077607C">
      <w:pPr>
        <w:spacing w:after="160" w:line="278" w:lineRule="auto"/>
        <w:jc w:val="both"/>
        <w:rPr>
          <w:rFonts w:ascii="Arial" w:eastAsia="Arial" w:hAnsi="Arial" w:cs="Arial"/>
          <w:b/>
          <w:bCs/>
          <w:sz w:val="22"/>
          <w:szCs w:val="22"/>
        </w:rPr>
      </w:pPr>
    </w:p>
    <w:p w14:paraId="6B4CD3D9" w14:textId="77777777" w:rsidR="0077607C" w:rsidRDefault="0077607C" w:rsidP="0077607C">
      <w:pPr>
        <w:spacing w:after="160" w:line="278" w:lineRule="auto"/>
        <w:jc w:val="both"/>
        <w:rPr>
          <w:rFonts w:ascii="Arial" w:eastAsia="Arial" w:hAnsi="Arial" w:cs="Arial"/>
          <w:b/>
          <w:bCs/>
          <w:sz w:val="22"/>
          <w:szCs w:val="22"/>
        </w:rPr>
      </w:pPr>
    </w:p>
    <w:p w14:paraId="7D680D29" w14:textId="77777777" w:rsidR="0077607C" w:rsidRDefault="0077607C" w:rsidP="0077607C">
      <w:pPr>
        <w:spacing w:after="160" w:line="278" w:lineRule="auto"/>
        <w:jc w:val="both"/>
        <w:rPr>
          <w:rFonts w:ascii="Arial" w:eastAsia="Arial" w:hAnsi="Arial" w:cs="Arial"/>
          <w:b/>
          <w:bCs/>
          <w:sz w:val="22"/>
          <w:szCs w:val="22"/>
        </w:rPr>
      </w:pPr>
    </w:p>
    <w:p w14:paraId="1BCDDC4D" w14:textId="77777777" w:rsidR="0077607C" w:rsidRDefault="0077607C" w:rsidP="0077607C">
      <w:pPr>
        <w:spacing w:after="160" w:line="278" w:lineRule="auto"/>
        <w:jc w:val="both"/>
        <w:rPr>
          <w:rFonts w:ascii="Arial" w:eastAsia="Arial" w:hAnsi="Arial" w:cs="Arial"/>
          <w:b/>
          <w:bCs/>
          <w:sz w:val="22"/>
          <w:szCs w:val="22"/>
        </w:rPr>
      </w:pPr>
    </w:p>
    <w:p w14:paraId="438939EF" w14:textId="77777777" w:rsidR="0077607C" w:rsidRDefault="0077607C" w:rsidP="0077607C">
      <w:pPr>
        <w:spacing w:after="160" w:line="278" w:lineRule="auto"/>
        <w:jc w:val="both"/>
        <w:rPr>
          <w:rFonts w:ascii="Arial" w:eastAsia="Arial" w:hAnsi="Arial" w:cs="Arial"/>
          <w:b/>
          <w:bCs/>
          <w:sz w:val="22"/>
          <w:szCs w:val="22"/>
        </w:rPr>
      </w:pPr>
    </w:p>
    <w:p w14:paraId="02805600" w14:textId="77777777" w:rsidR="0077607C" w:rsidRDefault="0077607C" w:rsidP="0077607C">
      <w:pPr>
        <w:spacing w:after="160" w:line="278" w:lineRule="auto"/>
        <w:jc w:val="both"/>
        <w:rPr>
          <w:rFonts w:ascii="Arial" w:eastAsia="Arial" w:hAnsi="Arial" w:cs="Arial"/>
          <w:b/>
          <w:bCs/>
          <w:sz w:val="22"/>
          <w:szCs w:val="22"/>
        </w:rPr>
      </w:pPr>
    </w:p>
    <w:p w14:paraId="106FFF1E" w14:textId="77777777" w:rsidR="0077607C" w:rsidRDefault="0077607C" w:rsidP="0077607C">
      <w:pPr>
        <w:spacing w:after="160" w:line="278" w:lineRule="auto"/>
        <w:jc w:val="both"/>
        <w:rPr>
          <w:rFonts w:ascii="Arial" w:eastAsia="Arial" w:hAnsi="Arial" w:cs="Arial"/>
          <w:b/>
          <w:bCs/>
          <w:sz w:val="22"/>
          <w:szCs w:val="22"/>
        </w:rPr>
      </w:pPr>
    </w:p>
    <w:p w14:paraId="339ACF75" w14:textId="77777777" w:rsidR="0077607C" w:rsidRDefault="0077607C" w:rsidP="0077607C">
      <w:pPr>
        <w:spacing w:after="160" w:line="278" w:lineRule="auto"/>
        <w:jc w:val="both"/>
        <w:rPr>
          <w:rFonts w:ascii="Arial" w:eastAsia="Arial" w:hAnsi="Arial" w:cs="Arial"/>
          <w:b/>
          <w:bCs/>
          <w:sz w:val="22"/>
          <w:szCs w:val="22"/>
        </w:rPr>
      </w:pPr>
    </w:p>
    <w:p w14:paraId="551596C4" w14:textId="77777777" w:rsidR="0077607C" w:rsidRDefault="0077607C" w:rsidP="0077607C">
      <w:pPr>
        <w:spacing w:after="160" w:line="278" w:lineRule="auto"/>
        <w:jc w:val="both"/>
        <w:rPr>
          <w:rFonts w:ascii="Arial" w:eastAsia="Arial" w:hAnsi="Arial" w:cs="Arial"/>
          <w:b/>
          <w:bCs/>
          <w:sz w:val="22"/>
          <w:szCs w:val="22"/>
        </w:rPr>
      </w:pPr>
    </w:p>
    <w:p w14:paraId="3845C02F" w14:textId="77777777" w:rsidR="0077607C" w:rsidRDefault="0077607C" w:rsidP="0077607C">
      <w:pPr>
        <w:spacing w:after="160" w:line="278" w:lineRule="auto"/>
        <w:jc w:val="both"/>
        <w:rPr>
          <w:rFonts w:ascii="Arial" w:eastAsia="Arial" w:hAnsi="Arial" w:cs="Arial"/>
          <w:b/>
          <w:bCs/>
          <w:sz w:val="22"/>
          <w:szCs w:val="22"/>
        </w:rPr>
      </w:pPr>
    </w:p>
    <w:p w14:paraId="66EAA2E3" w14:textId="77777777" w:rsidR="0077607C" w:rsidRDefault="0077607C" w:rsidP="0077607C">
      <w:pPr>
        <w:spacing w:after="160" w:line="278" w:lineRule="auto"/>
        <w:jc w:val="both"/>
        <w:rPr>
          <w:rFonts w:ascii="Arial" w:eastAsia="Arial" w:hAnsi="Arial" w:cs="Arial"/>
          <w:b/>
          <w:bCs/>
          <w:sz w:val="22"/>
          <w:szCs w:val="22"/>
        </w:rPr>
      </w:pPr>
    </w:p>
    <w:p w14:paraId="5277DA2C" w14:textId="77777777" w:rsidR="0077607C" w:rsidRDefault="0077607C" w:rsidP="0077607C">
      <w:pPr>
        <w:spacing w:after="160" w:line="278" w:lineRule="auto"/>
        <w:jc w:val="both"/>
        <w:rPr>
          <w:rFonts w:ascii="Arial" w:eastAsia="Arial" w:hAnsi="Arial" w:cs="Arial"/>
          <w:b/>
          <w:bCs/>
          <w:sz w:val="22"/>
          <w:szCs w:val="22"/>
        </w:rPr>
      </w:pPr>
    </w:p>
    <w:p w14:paraId="5AF99F8D" w14:textId="77777777" w:rsidR="0077607C" w:rsidRDefault="0077607C" w:rsidP="0077607C">
      <w:pPr>
        <w:spacing w:after="160" w:line="278" w:lineRule="auto"/>
        <w:jc w:val="both"/>
        <w:rPr>
          <w:rFonts w:ascii="Arial" w:eastAsia="Arial" w:hAnsi="Arial" w:cs="Arial"/>
          <w:b/>
          <w:bCs/>
          <w:sz w:val="22"/>
          <w:szCs w:val="22"/>
        </w:rPr>
      </w:pPr>
    </w:p>
    <w:p w14:paraId="356ACEB2" w14:textId="77777777" w:rsidR="0077607C" w:rsidRDefault="0077607C" w:rsidP="0077607C">
      <w:pPr>
        <w:spacing w:after="160" w:line="278" w:lineRule="auto"/>
        <w:jc w:val="both"/>
        <w:rPr>
          <w:rFonts w:ascii="Arial" w:eastAsia="Arial" w:hAnsi="Arial" w:cs="Arial"/>
          <w:b/>
          <w:bCs/>
          <w:sz w:val="22"/>
          <w:szCs w:val="22"/>
        </w:rPr>
      </w:pPr>
    </w:p>
    <w:p w14:paraId="5D8860C6" w14:textId="77777777" w:rsidR="0077607C" w:rsidRDefault="0077607C" w:rsidP="0077607C">
      <w:pPr>
        <w:spacing w:after="160" w:line="278" w:lineRule="auto"/>
        <w:jc w:val="both"/>
        <w:rPr>
          <w:rFonts w:ascii="Arial" w:eastAsia="Arial" w:hAnsi="Arial" w:cs="Arial"/>
          <w:b/>
          <w:bCs/>
          <w:sz w:val="22"/>
          <w:szCs w:val="22"/>
        </w:rPr>
      </w:pPr>
    </w:p>
    <w:p w14:paraId="53F56B2A" w14:textId="77777777" w:rsidR="0077607C" w:rsidRDefault="0077607C" w:rsidP="0077607C">
      <w:pPr>
        <w:spacing w:after="160" w:line="278" w:lineRule="auto"/>
        <w:jc w:val="both"/>
        <w:rPr>
          <w:rFonts w:ascii="Arial" w:eastAsia="Arial" w:hAnsi="Arial" w:cs="Arial"/>
          <w:b/>
          <w:bCs/>
          <w:sz w:val="22"/>
          <w:szCs w:val="22"/>
        </w:rPr>
      </w:pPr>
    </w:p>
    <w:p w14:paraId="091CFEEE" w14:textId="77777777" w:rsidR="0077607C" w:rsidRDefault="0077607C" w:rsidP="0077607C">
      <w:pPr>
        <w:spacing w:after="160" w:line="278" w:lineRule="auto"/>
        <w:jc w:val="both"/>
        <w:rPr>
          <w:rFonts w:ascii="Arial" w:eastAsia="Arial" w:hAnsi="Arial" w:cs="Arial"/>
          <w:b/>
          <w:bCs/>
          <w:sz w:val="22"/>
          <w:szCs w:val="22"/>
        </w:rPr>
      </w:pPr>
      <w:r>
        <w:rPr>
          <w:rFonts w:ascii="Arial" w:eastAsia="Arial" w:hAnsi="Arial" w:cs="Arial"/>
          <w:b/>
          <w:bCs/>
          <w:sz w:val="22"/>
          <w:szCs w:val="22"/>
        </w:rPr>
        <w:t>Bibliography</w:t>
      </w:r>
    </w:p>
    <w:p w14:paraId="386CADAE" w14:textId="77777777" w:rsidR="0077607C" w:rsidRDefault="0077607C" w:rsidP="0077607C">
      <w:pPr>
        <w:spacing w:after="160" w:line="278" w:lineRule="auto"/>
        <w:jc w:val="both"/>
        <w:rPr>
          <w:rFonts w:ascii="Arial" w:eastAsia="Arial" w:hAnsi="Arial" w:cs="Arial"/>
          <w:b/>
          <w:bCs/>
          <w:sz w:val="22"/>
          <w:szCs w:val="22"/>
        </w:rPr>
      </w:pPr>
      <w:hyperlink r:id="rId15">
        <w:r>
          <w:rPr>
            <w:rFonts w:ascii="Arial" w:eastAsia="Arial" w:hAnsi="Arial" w:cs="Arial"/>
            <w:b/>
            <w:bCs/>
            <w:color w:val="467886"/>
            <w:sz w:val="22"/>
            <w:szCs w:val="22"/>
            <w:u w:val="single"/>
          </w:rPr>
          <w:t>https://docs.fortinet.com/document/fortigate/7.4.2/ngfw-atp-concept-guide/868490/statistical-anomaly-based-detection</w:t>
        </w:r>
      </w:hyperlink>
    </w:p>
    <w:p w14:paraId="3C4FAF0C" w14:textId="77777777" w:rsidR="0077607C" w:rsidRDefault="0077607C" w:rsidP="0077607C">
      <w:pPr>
        <w:spacing w:after="160" w:line="278" w:lineRule="auto"/>
        <w:jc w:val="both"/>
        <w:rPr>
          <w:rFonts w:ascii="Arial" w:eastAsia="Arial" w:hAnsi="Arial" w:cs="Arial"/>
          <w:b/>
          <w:bCs/>
          <w:sz w:val="22"/>
          <w:szCs w:val="22"/>
        </w:rPr>
      </w:pPr>
      <w:hyperlink r:id="rId16">
        <w:r>
          <w:rPr>
            <w:rFonts w:ascii="Arial" w:eastAsia="Arial" w:hAnsi="Arial" w:cs="Arial"/>
            <w:b/>
            <w:bCs/>
            <w:color w:val="467886"/>
            <w:sz w:val="22"/>
            <w:szCs w:val="22"/>
            <w:u w:val="single"/>
          </w:rPr>
          <w:t>https://fastercapital.com/content/Anomaly-Detection--Detecting-Suspicious-Behavior-with-IPS.html</w:t>
        </w:r>
      </w:hyperlink>
    </w:p>
    <w:p w14:paraId="57FB3A19" w14:textId="77777777" w:rsidR="0077607C" w:rsidRDefault="0077607C" w:rsidP="0077607C">
      <w:pPr>
        <w:spacing w:after="160" w:line="278" w:lineRule="auto"/>
        <w:jc w:val="both"/>
        <w:rPr>
          <w:rFonts w:ascii="Arial" w:eastAsia="Arial" w:hAnsi="Arial" w:cs="Arial"/>
          <w:b/>
          <w:bCs/>
          <w:sz w:val="22"/>
          <w:szCs w:val="22"/>
        </w:rPr>
      </w:pPr>
      <w:hyperlink r:id="rId17">
        <w:r>
          <w:rPr>
            <w:rFonts w:ascii="Arial" w:eastAsia="Arial" w:hAnsi="Arial" w:cs="Arial"/>
            <w:b/>
            <w:bCs/>
            <w:color w:val="467886"/>
            <w:sz w:val="22"/>
            <w:szCs w:val="22"/>
            <w:u w:val="single"/>
          </w:rPr>
          <w:t>https://en.wikipedia.org/wiki/Anomaly-based_intrusion_detection_system</w:t>
        </w:r>
      </w:hyperlink>
    </w:p>
    <w:p w14:paraId="5BF0A9A5" w14:textId="77777777" w:rsidR="0077607C" w:rsidRDefault="0077607C" w:rsidP="0077607C">
      <w:pPr>
        <w:spacing w:after="160" w:line="278" w:lineRule="auto"/>
        <w:jc w:val="both"/>
        <w:rPr>
          <w:rFonts w:ascii="Arial" w:eastAsia="Arial" w:hAnsi="Arial" w:cs="Arial"/>
          <w:b/>
          <w:bCs/>
          <w:sz w:val="22"/>
          <w:szCs w:val="22"/>
        </w:rPr>
      </w:pPr>
      <w:hyperlink r:id="rId18">
        <w:r>
          <w:rPr>
            <w:rFonts w:ascii="Arial" w:eastAsia="Arial" w:hAnsi="Arial" w:cs="Arial"/>
            <w:b/>
            <w:bCs/>
            <w:color w:val="467886"/>
            <w:sz w:val="22"/>
            <w:szCs w:val="22"/>
            <w:u w:val="single"/>
          </w:rPr>
          <w:t>https://letsdefend.io/blog/nist-incident-response-preparation-phase</w:t>
        </w:r>
      </w:hyperlink>
    </w:p>
    <w:p w14:paraId="3AA9139B" w14:textId="77777777" w:rsidR="0077607C" w:rsidRDefault="0077607C" w:rsidP="0077607C">
      <w:pPr>
        <w:spacing w:after="160" w:line="278" w:lineRule="auto"/>
        <w:jc w:val="both"/>
        <w:rPr>
          <w:rFonts w:ascii="Arial" w:eastAsia="Arial" w:hAnsi="Arial" w:cs="Arial"/>
          <w:b/>
          <w:bCs/>
          <w:sz w:val="22"/>
          <w:szCs w:val="22"/>
        </w:rPr>
      </w:pPr>
      <w:hyperlink r:id="rId19">
        <w:r>
          <w:rPr>
            <w:rFonts w:ascii="Arial" w:eastAsia="Arial" w:hAnsi="Arial" w:cs="Arial"/>
            <w:b/>
            <w:bCs/>
            <w:color w:val="467886"/>
            <w:sz w:val="22"/>
            <w:szCs w:val="22"/>
            <w:u w:val="single"/>
          </w:rPr>
          <w:t>https://nvlpubs.nist.gov/nistpubs/specialpublications/nist.sp.800-184.pdf</w:t>
        </w:r>
      </w:hyperlink>
    </w:p>
    <w:p w14:paraId="0361F409" w14:textId="77777777" w:rsidR="0077607C" w:rsidRDefault="0077607C" w:rsidP="0077607C">
      <w:pPr>
        <w:spacing w:after="160" w:line="278" w:lineRule="auto"/>
        <w:jc w:val="both"/>
        <w:rPr>
          <w:rFonts w:ascii="Arial" w:eastAsia="Arial" w:hAnsi="Arial" w:cs="Arial"/>
          <w:b/>
          <w:bCs/>
          <w:sz w:val="22"/>
          <w:szCs w:val="22"/>
        </w:rPr>
      </w:pPr>
      <w:hyperlink r:id="rId20">
        <w:r>
          <w:rPr>
            <w:rFonts w:ascii="Arial" w:eastAsia="Arial" w:hAnsi="Arial" w:cs="Arial"/>
            <w:b/>
            <w:bCs/>
            <w:color w:val="467886"/>
            <w:sz w:val="22"/>
            <w:szCs w:val="22"/>
            <w:u w:val="single"/>
          </w:rPr>
          <w:t>https://nvlpubs.nist.gov/nistpubs/specialpublications/nist.sp.800-61r2.pdf</w:t>
        </w:r>
      </w:hyperlink>
    </w:p>
    <w:p w14:paraId="5FDB9EC3" w14:textId="77777777" w:rsidR="0077607C" w:rsidRDefault="0077607C" w:rsidP="0077607C">
      <w:pPr>
        <w:spacing w:after="160" w:line="278" w:lineRule="auto"/>
        <w:jc w:val="both"/>
        <w:rPr>
          <w:rFonts w:ascii="Arial" w:eastAsia="Arial" w:hAnsi="Arial" w:cs="Arial"/>
          <w:b/>
          <w:bCs/>
          <w:sz w:val="22"/>
          <w:szCs w:val="22"/>
        </w:rPr>
      </w:pPr>
      <w:hyperlink r:id="rId21">
        <w:r>
          <w:rPr>
            <w:rFonts w:ascii="Arial" w:eastAsia="Arial" w:hAnsi="Arial" w:cs="Arial"/>
            <w:b/>
            <w:bCs/>
            <w:color w:val="467886"/>
            <w:sz w:val="22"/>
            <w:szCs w:val="22"/>
            <w:u w:val="single"/>
          </w:rPr>
          <w:t>https://doi.org/10.6028/NIST.SP.800-61r3</w:t>
        </w:r>
      </w:hyperlink>
    </w:p>
    <w:p w14:paraId="0766801A" w14:textId="77777777" w:rsidR="0077607C" w:rsidRDefault="0077607C" w:rsidP="0077607C">
      <w:pPr>
        <w:spacing w:after="160" w:line="278" w:lineRule="auto"/>
        <w:jc w:val="both"/>
        <w:rPr>
          <w:rFonts w:ascii="Arial" w:eastAsia="Arial" w:hAnsi="Arial" w:cs="Arial"/>
          <w:b/>
          <w:bCs/>
          <w:sz w:val="22"/>
          <w:szCs w:val="22"/>
        </w:rPr>
      </w:pPr>
      <w:hyperlink r:id="rId22">
        <w:r>
          <w:rPr>
            <w:rFonts w:ascii="Arial" w:eastAsia="Arial" w:hAnsi="Arial" w:cs="Arial"/>
            <w:b/>
            <w:bCs/>
            <w:color w:val="467886"/>
            <w:sz w:val="22"/>
            <w:szCs w:val="22"/>
            <w:u w:val="single"/>
          </w:rPr>
          <w:t>https://doi.org/10.6028/NIST.CSWP.29</w:t>
        </w:r>
      </w:hyperlink>
    </w:p>
    <w:p w14:paraId="024D1015" w14:textId="77777777" w:rsidR="0077607C" w:rsidRDefault="0077607C" w:rsidP="0077607C">
      <w:pPr>
        <w:spacing w:after="160" w:line="278" w:lineRule="auto"/>
        <w:jc w:val="both"/>
        <w:rPr>
          <w:rFonts w:ascii="Arial" w:eastAsia="Arial" w:hAnsi="Arial" w:cs="Arial"/>
          <w:b/>
          <w:bCs/>
          <w:sz w:val="22"/>
          <w:szCs w:val="22"/>
        </w:rPr>
      </w:pPr>
      <w:hyperlink r:id="rId23">
        <w:r>
          <w:rPr>
            <w:rFonts w:ascii="Arial" w:eastAsia="Arial" w:hAnsi="Arial" w:cs="Arial"/>
            <w:b/>
            <w:bCs/>
            <w:color w:val="467886"/>
            <w:sz w:val="22"/>
            <w:szCs w:val="22"/>
            <w:u w:val="single"/>
          </w:rPr>
          <w:t>https://baconunlimited.com/zero-day-vulnerability-response-plan/</w:t>
        </w:r>
      </w:hyperlink>
    </w:p>
    <w:p w14:paraId="616EB6AA" w14:textId="77777777" w:rsidR="0077607C" w:rsidRDefault="0077607C" w:rsidP="0077607C">
      <w:pPr>
        <w:spacing w:after="160" w:line="278" w:lineRule="auto"/>
        <w:jc w:val="both"/>
        <w:rPr>
          <w:rFonts w:ascii="Arial" w:eastAsia="Arial" w:hAnsi="Arial" w:cs="Arial"/>
          <w:b/>
          <w:bCs/>
          <w:sz w:val="22"/>
          <w:szCs w:val="22"/>
        </w:rPr>
      </w:pPr>
      <w:hyperlink r:id="rId24">
        <w:r>
          <w:rPr>
            <w:rFonts w:ascii="Arial" w:eastAsia="Arial" w:hAnsi="Arial" w:cs="Arial"/>
            <w:b/>
            <w:bCs/>
            <w:color w:val="467886"/>
            <w:sz w:val="22"/>
            <w:szCs w:val="22"/>
            <w:u w:val="single"/>
          </w:rPr>
          <w:t>https://www.taylorwessing.com/de/global-data-hub/2025/digital-resilience-and-cyber-security/gdh---monitoring-preparedness-and-governance-under-eu-cyber-security-legislation</w:t>
        </w:r>
      </w:hyperlink>
    </w:p>
    <w:p w14:paraId="6F628B12" w14:textId="77777777" w:rsidR="0077607C" w:rsidRDefault="0077607C" w:rsidP="0077607C">
      <w:pPr>
        <w:spacing w:after="160" w:line="278" w:lineRule="auto"/>
        <w:jc w:val="both"/>
        <w:rPr>
          <w:rFonts w:ascii="Arial" w:eastAsia="Arial" w:hAnsi="Arial" w:cs="Arial"/>
          <w:b/>
          <w:bCs/>
          <w:sz w:val="22"/>
          <w:szCs w:val="22"/>
        </w:rPr>
      </w:pPr>
      <w:hyperlink r:id="rId25">
        <w:r>
          <w:rPr>
            <w:rFonts w:ascii="Arial" w:eastAsia="Arial" w:hAnsi="Arial" w:cs="Arial"/>
            <w:b/>
            <w:bCs/>
            <w:color w:val="467886"/>
            <w:sz w:val="22"/>
            <w:szCs w:val="22"/>
            <w:u w:val="single"/>
          </w:rPr>
          <w:t>https://safe.security/resources/insights/nist-cybersecurity-framework/</w:t>
        </w:r>
      </w:hyperlink>
    </w:p>
    <w:p w14:paraId="327E374A" w14:textId="77777777" w:rsidR="0077607C" w:rsidRDefault="0077607C" w:rsidP="0077607C">
      <w:pPr>
        <w:spacing w:after="160" w:line="278" w:lineRule="auto"/>
        <w:jc w:val="both"/>
        <w:rPr>
          <w:rFonts w:ascii="Arial" w:eastAsia="Arial" w:hAnsi="Arial" w:cs="Arial"/>
          <w:b/>
          <w:bCs/>
          <w:sz w:val="22"/>
          <w:szCs w:val="22"/>
        </w:rPr>
      </w:pPr>
      <w:hyperlink r:id="rId26" w:anchor=":~:text=Organizational%20Context%20(GV.,Risk%20Management%20Strategy%20(GV">
        <w:r>
          <w:rPr>
            <w:rFonts w:ascii="Arial" w:eastAsia="Arial" w:hAnsi="Arial" w:cs="Arial"/>
            <w:b/>
            <w:bCs/>
            <w:color w:val="467886"/>
            <w:sz w:val="22"/>
            <w:szCs w:val="22"/>
            <w:u w:val="single"/>
          </w:rPr>
          <w:t>https://en.wikipedia.org/wiki/NIST_Cybersecurity_Framework#:~:text=Organizational%20Context%20(GV.,Risk%20Management%20Strategy%20(GV</w:t>
        </w:r>
      </w:hyperlink>
      <w:r>
        <w:rPr>
          <w:rFonts w:ascii="Arial" w:eastAsia="Arial" w:hAnsi="Arial" w:cs="Arial"/>
          <w:b/>
          <w:bCs/>
          <w:sz w:val="22"/>
          <w:szCs w:val="22"/>
        </w:rPr>
        <w:t>.</w:t>
      </w:r>
    </w:p>
    <w:p w14:paraId="2F1BCE34" w14:textId="77777777" w:rsidR="0077607C" w:rsidRDefault="0077607C" w:rsidP="0077607C">
      <w:pPr>
        <w:spacing w:after="160" w:line="278" w:lineRule="auto"/>
        <w:jc w:val="both"/>
        <w:rPr>
          <w:rFonts w:ascii="Arial" w:eastAsia="Arial" w:hAnsi="Arial" w:cs="Arial"/>
          <w:b/>
          <w:bCs/>
          <w:sz w:val="22"/>
          <w:szCs w:val="22"/>
        </w:rPr>
      </w:pPr>
    </w:p>
    <w:p w14:paraId="58C25CD5" w14:textId="77777777" w:rsidR="0077607C" w:rsidRDefault="0077607C" w:rsidP="0077607C">
      <w:pPr>
        <w:spacing w:after="160" w:line="278" w:lineRule="auto"/>
        <w:jc w:val="both"/>
        <w:rPr>
          <w:rFonts w:ascii="Arial" w:eastAsia="Arial" w:hAnsi="Arial" w:cs="Arial"/>
          <w:b/>
          <w:bCs/>
          <w:sz w:val="22"/>
          <w:szCs w:val="22"/>
        </w:rPr>
      </w:pPr>
      <w:hyperlink r:id="rId27" w:anchor=":~:text=By%20defining%20clear%20governance%20policies,a%20robust%20cybersecurity%20governance%20program">
        <w:r>
          <w:rPr>
            <w:rFonts w:ascii="Arial" w:eastAsia="Arial" w:hAnsi="Arial" w:cs="Arial"/>
            <w:b/>
            <w:bCs/>
            <w:color w:val="467886"/>
            <w:sz w:val="22"/>
            <w:szCs w:val="22"/>
            <w:u w:val="single"/>
          </w:rPr>
          <w:t>https://www.mimecast.com/content/cybersecurity-governance/#:~:text=By%20defining%20clear%20governance%20policies,a%20robust%20cybersecurity%20governance%20program</w:t>
        </w:r>
      </w:hyperlink>
      <w:r>
        <w:rPr>
          <w:rFonts w:ascii="Arial" w:eastAsia="Arial" w:hAnsi="Arial" w:cs="Arial"/>
          <w:b/>
          <w:bCs/>
          <w:sz w:val="22"/>
          <w:szCs w:val="22"/>
        </w:rPr>
        <w:t>.</w:t>
      </w:r>
    </w:p>
    <w:p w14:paraId="33703D35" w14:textId="77777777" w:rsidR="0077607C" w:rsidRDefault="0077607C" w:rsidP="0077607C">
      <w:pPr>
        <w:spacing w:after="160" w:line="278" w:lineRule="auto"/>
        <w:jc w:val="both"/>
        <w:rPr>
          <w:rFonts w:ascii="Arial" w:eastAsia="Arial" w:hAnsi="Arial" w:cs="Arial"/>
          <w:b/>
          <w:bCs/>
          <w:sz w:val="22"/>
          <w:szCs w:val="22"/>
        </w:rPr>
      </w:pPr>
      <w:hyperlink r:id="rId28" w:anchor=":~:text=threat%20in%20advance.-,What%20is%20a%20zero%2Dday%20vulnerability%3F,before%20attackers%20can%20exploit%20it">
        <w:r>
          <w:rPr>
            <w:rFonts w:ascii="Arial" w:eastAsia="Arial" w:hAnsi="Arial" w:cs="Arial"/>
            <w:b/>
            <w:bCs/>
            <w:color w:val="467886"/>
            <w:sz w:val="22"/>
            <w:szCs w:val="22"/>
            <w:u w:val="single"/>
          </w:rPr>
          <w:t>https://www.vectra.ai/topics/zero-day#:~:text=threat%20in%20advance.-,What%20is%20a%20zero%2Dday%20vulnerability%3F,before%20attackers%20can%20exploit%20it</w:t>
        </w:r>
      </w:hyperlink>
      <w:r>
        <w:rPr>
          <w:rFonts w:ascii="Arial" w:eastAsia="Arial" w:hAnsi="Arial" w:cs="Arial"/>
          <w:b/>
          <w:bCs/>
          <w:sz w:val="22"/>
          <w:szCs w:val="22"/>
        </w:rPr>
        <w:t>.</w:t>
      </w:r>
    </w:p>
    <w:p w14:paraId="73E8EE52" w14:textId="77777777" w:rsidR="0077607C" w:rsidRDefault="0077607C" w:rsidP="0077607C">
      <w:pPr>
        <w:spacing w:after="160" w:line="278" w:lineRule="auto"/>
        <w:jc w:val="both"/>
        <w:rPr>
          <w:rFonts w:ascii="Arial" w:eastAsia="Arial" w:hAnsi="Arial" w:cs="Arial"/>
          <w:b/>
          <w:bCs/>
          <w:sz w:val="22"/>
          <w:szCs w:val="22"/>
        </w:rPr>
      </w:pPr>
      <w:hyperlink r:id="rId29" w:anchor=":~:text=Activities%20related%20to%20incident%20management,event%20analysis%20and%20lessons%20learned">
        <w:r>
          <w:rPr>
            <w:rFonts w:ascii="Arial" w:eastAsia="Arial" w:hAnsi="Arial" w:cs="Arial"/>
            <w:b/>
            <w:bCs/>
            <w:color w:val="467886"/>
            <w:sz w:val="22"/>
            <w:szCs w:val="22"/>
            <w:u w:val="single"/>
          </w:rPr>
          <w:t>https://www.manageengine.com/compliance-manager/nist-csf-compliance/nist-csf-respond-function.html#:~:text=Activities%20related%20to%20incident%20management,event%20analysis%20and%20lessons%20learned</w:t>
        </w:r>
      </w:hyperlink>
      <w:r>
        <w:rPr>
          <w:rFonts w:ascii="Arial" w:eastAsia="Arial" w:hAnsi="Arial" w:cs="Arial"/>
          <w:b/>
          <w:bCs/>
          <w:sz w:val="22"/>
          <w:szCs w:val="22"/>
        </w:rPr>
        <w:t>.</w:t>
      </w:r>
    </w:p>
    <w:p w14:paraId="4A0BB859" w14:textId="77777777" w:rsidR="0077607C" w:rsidRDefault="0077607C" w:rsidP="0077607C">
      <w:pPr>
        <w:spacing w:after="160" w:line="278" w:lineRule="auto"/>
        <w:jc w:val="both"/>
        <w:rPr>
          <w:rFonts w:ascii="Arial" w:eastAsia="Arial" w:hAnsi="Arial" w:cs="Arial"/>
          <w:b/>
          <w:bCs/>
          <w:sz w:val="22"/>
          <w:szCs w:val="22"/>
        </w:rPr>
      </w:pPr>
      <w:hyperlink r:id="rId30">
        <w:r>
          <w:rPr>
            <w:rFonts w:ascii="Arial" w:eastAsia="Arial" w:hAnsi="Arial" w:cs="Arial"/>
            <w:b/>
            <w:bCs/>
            <w:color w:val="467886"/>
            <w:sz w:val="22"/>
            <w:szCs w:val="22"/>
            <w:u w:val="single"/>
          </w:rPr>
          <w:t>https://safe.security/resources/insights/nist-cybersecurity-framework/</w:t>
        </w:r>
      </w:hyperlink>
    </w:p>
    <w:p w14:paraId="3EAC1236" w14:textId="77777777" w:rsidR="0077607C" w:rsidRDefault="0077607C" w:rsidP="0077607C">
      <w:pPr>
        <w:spacing w:after="160" w:line="278" w:lineRule="auto"/>
        <w:jc w:val="both"/>
        <w:rPr>
          <w:rFonts w:ascii="Arial" w:eastAsia="Arial" w:hAnsi="Arial" w:cs="Arial"/>
          <w:b/>
          <w:bCs/>
          <w:sz w:val="22"/>
          <w:szCs w:val="22"/>
        </w:rPr>
      </w:pPr>
      <w:hyperlink r:id="rId31" w:anchor=":~:text=The%20organization's%20priorities%2C%20constraints%2C%20risk,%3A%20Roles%2C%20Responsibilities%2C%20And%20Authorities">
        <w:r>
          <w:rPr>
            <w:rFonts w:ascii="Arial" w:eastAsia="Arial" w:hAnsi="Arial" w:cs="Arial"/>
            <w:b/>
            <w:bCs/>
            <w:color w:val="467886"/>
            <w:sz w:val="22"/>
            <w:szCs w:val="22"/>
            <w:u w:val="single"/>
          </w:rPr>
          <w:t>https://csf.tools/reference/nist-cybersecurity-framework/v2-0/gv/#:~:text=The%20organization's%20priorities%2C%20constraints%2C%20risk,%3A%20Roles%2C%20Responsibilities%2C%20And%20Authorities</w:t>
        </w:r>
      </w:hyperlink>
    </w:p>
    <w:p w14:paraId="6A438053" w14:textId="77777777" w:rsidR="0077607C" w:rsidRDefault="0077607C" w:rsidP="0077607C">
      <w:pPr>
        <w:spacing w:after="160" w:line="278" w:lineRule="auto"/>
        <w:jc w:val="both"/>
        <w:rPr>
          <w:rFonts w:ascii="Arial" w:eastAsia="Arial" w:hAnsi="Arial" w:cs="Arial"/>
          <w:b/>
          <w:bCs/>
          <w:sz w:val="22"/>
          <w:szCs w:val="22"/>
        </w:rPr>
      </w:pPr>
      <w:hyperlink r:id="rId32" w:anchor="/csf/filters">
        <w:r>
          <w:rPr>
            <w:rFonts w:ascii="Arial" w:eastAsia="Arial" w:hAnsi="Arial" w:cs="Arial"/>
            <w:b/>
            <w:bCs/>
            <w:color w:val="467886"/>
            <w:sz w:val="22"/>
            <w:szCs w:val="22"/>
            <w:u w:val="single"/>
          </w:rPr>
          <w:t>https://csrc.nist.rip/Projects/Cybersecurity-Framework/Filters#/csf/filters</w:t>
        </w:r>
      </w:hyperlink>
    </w:p>
    <w:p w14:paraId="3A9EE0C5" w14:textId="77777777" w:rsidR="0077607C" w:rsidRDefault="0077607C" w:rsidP="0077607C">
      <w:pPr>
        <w:spacing w:after="160" w:line="278" w:lineRule="auto"/>
        <w:jc w:val="both"/>
        <w:rPr>
          <w:rFonts w:ascii="Arial" w:eastAsia="Arial" w:hAnsi="Arial" w:cs="Arial"/>
          <w:b/>
          <w:bCs/>
          <w:sz w:val="22"/>
          <w:szCs w:val="22"/>
        </w:rPr>
      </w:pPr>
      <w:hyperlink r:id="rId33" w:anchor=":~:text=2.0%20Core%20Functions-,Function,Secure%20critical%20assets%20and%20infrastructure">
        <w:r>
          <w:rPr>
            <w:rFonts w:ascii="Arial" w:eastAsia="Arial" w:hAnsi="Arial" w:cs="Arial"/>
            <w:b/>
            <w:bCs/>
            <w:color w:val="467886"/>
            <w:sz w:val="22"/>
            <w:szCs w:val="22"/>
            <w:u w:val="single"/>
          </w:rPr>
          <w:t>https://www.paloaltonetworks.com/cyberpedia/what-is-nist-csf#:~:text=2.0%20Core%20Functions-,Function,Secure%20critical%20assets%20and%20infrastructure</w:t>
        </w:r>
      </w:hyperlink>
    </w:p>
    <w:p w14:paraId="7C21BFA0" w14:textId="77777777" w:rsidR="0077607C" w:rsidRDefault="0077607C" w:rsidP="0077607C">
      <w:pPr>
        <w:spacing w:after="160" w:line="301" w:lineRule="auto"/>
        <w:jc w:val="both"/>
        <w:rPr>
          <w:rFonts w:ascii="Arial" w:eastAsia="Arial" w:hAnsi="Arial" w:cs="Arial"/>
          <w:b/>
          <w:bCs/>
          <w:color w:val="467886"/>
          <w:sz w:val="22"/>
          <w:szCs w:val="22"/>
          <w:u w:val="single"/>
        </w:rPr>
      </w:pPr>
      <w:r>
        <w:rPr>
          <w:rFonts w:ascii="Arial" w:eastAsia="Arial" w:hAnsi="Arial" w:cs="Arial"/>
          <w:b/>
          <w:bCs/>
          <w:color w:val="467886"/>
          <w:sz w:val="22"/>
          <w:szCs w:val="22"/>
          <w:u w:val="single"/>
        </w:rPr>
        <w:t>https://csrc.nist.gov/glossary/term/zero_day_attack</w:t>
      </w:r>
    </w:p>
    <w:p w14:paraId="35C16A11" w14:textId="77777777" w:rsidR="0077607C" w:rsidRDefault="0077607C" w:rsidP="0077607C">
      <w:pPr>
        <w:spacing w:after="160" w:line="301" w:lineRule="auto"/>
        <w:jc w:val="both"/>
        <w:rPr>
          <w:rFonts w:ascii="Arial" w:eastAsia="Arial" w:hAnsi="Arial" w:cs="Arial"/>
          <w:b/>
          <w:bCs/>
          <w:color w:val="467886"/>
          <w:sz w:val="22"/>
          <w:szCs w:val="22"/>
        </w:rPr>
      </w:pPr>
      <w:r>
        <w:rPr>
          <w:rFonts w:ascii="Arial" w:eastAsia="Arial" w:hAnsi="Arial" w:cs="Arial"/>
          <w:b/>
          <w:bCs/>
          <w:color w:val="467886"/>
          <w:sz w:val="22"/>
          <w:szCs w:val="22"/>
        </w:rPr>
        <w:t>Dempsey, K., et al. (n.d.). Automation Support for Security Control Assessments (NISTIR 8011, Vol. 3). National Institute of Standards and Technology.</w:t>
      </w:r>
    </w:p>
    <w:p w14:paraId="580EDB47" w14:textId="77777777" w:rsidR="0077607C" w:rsidRDefault="0077607C" w:rsidP="0077607C">
      <w:pPr>
        <w:spacing w:after="160" w:line="301" w:lineRule="auto"/>
        <w:jc w:val="both"/>
        <w:rPr>
          <w:rFonts w:ascii="Arial" w:eastAsia="Arial" w:hAnsi="Arial" w:cs="Arial"/>
          <w:b/>
          <w:bCs/>
          <w:color w:val="467886"/>
          <w:sz w:val="22"/>
          <w:szCs w:val="22"/>
          <w:u w:val="single"/>
        </w:rPr>
      </w:pPr>
      <w:r>
        <w:rPr>
          <w:rFonts w:ascii="Arial" w:eastAsia="Arial" w:hAnsi="Arial" w:cs="Arial"/>
          <w:b/>
          <w:bCs/>
          <w:color w:val="467886"/>
          <w:sz w:val="22"/>
          <w:szCs w:val="22"/>
          <w:u w:val="single"/>
        </w:rPr>
        <w:t>https://www.cisa.gov/known-exploited-vulnerabilities-catalog</w:t>
      </w:r>
    </w:p>
    <w:p w14:paraId="4CFF091C"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34">
        <w:r>
          <w:rPr>
            <w:rFonts w:ascii="Arial" w:eastAsia="Arial" w:hAnsi="Arial" w:cs="Arial"/>
            <w:b/>
            <w:bCs/>
            <w:color w:val="467886"/>
            <w:sz w:val="22"/>
            <w:szCs w:val="22"/>
            <w:u w:val="single"/>
          </w:rPr>
          <w:t>https://cloud.google.com/blog/topics/threat-intelligence/2024-zero-day-trends</w:t>
        </w:r>
      </w:hyperlink>
    </w:p>
    <w:p w14:paraId="6F0D5A99"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35">
        <w:r>
          <w:rPr>
            <w:rFonts w:ascii="Arial" w:eastAsia="Arial" w:hAnsi="Arial" w:cs="Arial"/>
            <w:b/>
            <w:bCs/>
            <w:color w:val="467886"/>
            <w:sz w:val="22"/>
            <w:szCs w:val="22"/>
            <w:u w:val="single"/>
          </w:rPr>
          <w:t>https://www.cisa.gov/known-exploited-vulnerabilities-catalog</w:t>
        </w:r>
      </w:hyperlink>
    </w:p>
    <w:p w14:paraId="6E59A135"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36">
        <w:r>
          <w:rPr>
            <w:rFonts w:ascii="Arial" w:eastAsia="Arial" w:hAnsi="Arial" w:cs="Arial"/>
            <w:b/>
            <w:bCs/>
            <w:color w:val="467886"/>
            <w:sz w:val="22"/>
            <w:szCs w:val="22"/>
            <w:u w:val="single"/>
          </w:rPr>
          <w:t>https://www.cisa.gov/news-events/directives/ed-25-03</w:t>
        </w:r>
      </w:hyperlink>
    </w:p>
    <w:p w14:paraId="7F8A513B"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37">
        <w:r>
          <w:rPr>
            <w:rFonts w:ascii="Arial" w:eastAsia="Arial" w:hAnsi="Arial" w:cs="Arial"/>
            <w:b/>
            <w:bCs/>
            <w:color w:val="467886"/>
            <w:sz w:val="22"/>
            <w:szCs w:val="22"/>
            <w:u w:val="single"/>
          </w:rPr>
          <w:t>https://www.cisa.gov/resources-tools/resources/eviction-strategies-tool</w:t>
        </w:r>
      </w:hyperlink>
    </w:p>
    <w:p w14:paraId="785B42AF"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38">
        <w:r>
          <w:rPr>
            <w:rFonts w:ascii="Arial" w:eastAsia="Arial" w:hAnsi="Arial" w:cs="Arial"/>
            <w:b/>
            <w:bCs/>
            <w:color w:val="467886"/>
            <w:sz w:val="22"/>
            <w:szCs w:val="22"/>
            <w:u w:val="single"/>
          </w:rPr>
          <w:t>https://d3fend.mitre.org/tactic/d3f:Restore/</w:t>
        </w:r>
      </w:hyperlink>
    </w:p>
    <w:p w14:paraId="601A3653"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39">
        <w:r>
          <w:rPr>
            <w:rFonts w:ascii="Arial" w:eastAsia="Arial" w:hAnsi="Arial" w:cs="Arial"/>
            <w:b/>
            <w:bCs/>
            <w:color w:val="467886"/>
            <w:sz w:val="22"/>
            <w:szCs w:val="22"/>
            <w:u w:val="single"/>
          </w:rPr>
          <w:t>https://www.first.org/cvss/v4.0/specification-document</w:t>
        </w:r>
      </w:hyperlink>
    </w:p>
    <w:p w14:paraId="68A2E6A4"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40">
        <w:r>
          <w:rPr>
            <w:rFonts w:ascii="Arial" w:eastAsia="Arial" w:hAnsi="Arial" w:cs="Arial"/>
            <w:b/>
            <w:bCs/>
            <w:color w:val="467886"/>
            <w:sz w:val="22"/>
            <w:szCs w:val="22"/>
            <w:u w:val="single"/>
          </w:rPr>
          <w:t>https://doi.org/10.6028/NIST.SP.800-61r3</w:t>
        </w:r>
      </w:hyperlink>
    </w:p>
    <w:p w14:paraId="4C770F46"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41">
        <w:r>
          <w:rPr>
            <w:rFonts w:ascii="Arial" w:eastAsia="Arial" w:hAnsi="Arial" w:cs="Arial"/>
            <w:b/>
            <w:bCs/>
            <w:color w:val="467886"/>
            <w:sz w:val="22"/>
            <w:szCs w:val="22"/>
            <w:u w:val="single"/>
          </w:rPr>
          <w:t>https://doi.org/10.6028/NIST.SP.800-184</w:t>
        </w:r>
      </w:hyperlink>
    </w:p>
    <w:p w14:paraId="0E91C746" w14:textId="77777777" w:rsidR="0077607C" w:rsidRDefault="0077607C" w:rsidP="0077607C">
      <w:pPr>
        <w:spacing w:after="160" w:line="301" w:lineRule="auto"/>
        <w:jc w:val="both"/>
        <w:rPr>
          <w:rFonts w:ascii="Arial" w:eastAsia="Arial" w:hAnsi="Arial" w:cs="Arial"/>
          <w:b/>
          <w:bCs/>
          <w:color w:val="467886"/>
          <w:sz w:val="22"/>
          <w:szCs w:val="22"/>
          <w:u w:val="single"/>
        </w:rPr>
      </w:pPr>
      <w:hyperlink r:id="rId42">
        <w:r>
          <w:rPr>
            <w:rFonts w:ascii="Arial" w:eastAsia="Arial" w:hAnsi="Arial" w:cs="Arial"/>
            <w:b/>
            <w:bCs/>
            <w:color w:val="467886"/>
            <w:sz w:val="22"/>
            <w:szCs w:val="22"/>
            <w:u w:val="single"/>
          </w:rPr>
          <w:t>https://doi.org/10.6028/NIST.CSWP.29</w:t>
        </w:r>
      </w:hyperlink>
    </w:p>
    <w:p w14:paraId="09968FEA" w14:textId="77777777" w:rsidR="0077607C" w:rsidRDefault="0077607C"/>
    <w:sectPr w:rsidR="0077607C" w:rsidSect="0077607C">
      <w:headerReference w:type="default" r:id="rId43"/>
      <w:footerReference w:type="even" r:id="rId44"/>
      <w:footerReference w:type="default" r:id="rId45"/>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A46F" w14:textId="77777777" w:rsidR="008B05B3" w:rsidRDefault="008B05B3">
      <w:r>
        <w:separator/>
      </w:r>
    </w:p>
  </w:endnote>
  <w:endnote w:type="continuationSeparator" w:id="0">
    <w:p w14:paraId="1556C89C" w14:textId="77777777" w:rsidR="008B05B3" w:rsidRDefault="008B0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505748"/>
      <w:docPartObj>
        <w:docPartGallery w:val="Page Numbers (Bottom of Page)"/>
        <w:docPartUnique/>
      </w:docPartObj>
    </w:sdtPr>
    <w:sdtContent>
      <w:p w14:paraId="52008866" w14:textId="62D8873F" w:rsidR="00B57F87" w:rsidRDefault="00B57F87" w:rsidP="00F843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F69D62" w14:textId="77777777" w:rsidR="00B57F87" w:rsidRDefault="00B57F87" w:rsidP="00B57F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4675514"/>
      <w:docPartObj>
        <w:docPartGallery w:val="Page Numbers (Bottom of Page)"/>
        <w:docPartUnique/>
      </w:docPartObj>
    </w:sdtPr>
    <w:sdtContent>
      <w:p w14:paraId="0778F26A" w14:textId="7FA5D970" w:rsidR="00B57F87" w:rsidRDefault="00B57F87" w:rsidP="00F843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FA4B63" w14:textId="685106A6" w:rsidR="0077607C" w:rsidRDefault="0077607C" w:rsidP="00B57F87">
    <w:pPr>
      <w:ind w:right="360"/>
      <w:jc w:val="center"/>
    </w:pPr>
    <w:proofErr w:type="gramStart"/>
    <w:r>
      <w:rPr>
        <w:rFonts w:ascii="Calibri" w:eastAsia="Calibri" w:hAnsi="Calibri" w:cs="Calibri"/>
        <w:color w:val="44506A"/>
        <w:sz w:val="16"/>
        <w:szCs w:val="16"/>
      </w:rPr>
      <w:t>Page  of</w:t>
    </w:r>
    <w:proofErr w:type="gramEnd"/>
    <w:r>
      <w:rPr>
        <w:rFonts w:ascii="Calibri" w:eastAsia="Calibri" w:hAnsi="Calibri" w:cs="Calibri"/>
        <w:color w:val="44506A"/>
        <w:sz w:val="16"/>
        <w:szCs w:val="16"/>
      </w:rPr>
      <w:t xml:space="preserve"> </w:t>
    </w:r>
    <w:r>
      <w:rPr>
        <w:rFonts w:ascii="Calibri" w:eastAsia="Calibri" w:hAnsi="Calibri" w:cs="Calibri"/>
        <w:color w:val="44506A"/>
        <w:sz w:val="16"/>
        <w:szCs w:val="16"/>
      </w:rPr>
      <w:fldChar w:fldCharType="begin"/>
    </w:r>
    <w:r>
      <w:rPr>
        <w:rFonts w:ascii="Calibri" w:eastAsia="Calibri" w:hAnsi="Calibri" w:cs="Calibri"/>
        <w:color w:val="44506A"/>
        <w:sz w:val="16"/>
        <w:szCs w:val="16"/>
      </w:rPr>
      <w:instrText>NUMPAGES</w:instrText>
    </w:r>
    <w:r>
      <w:rPr>
        <w:rFonts w:ascii="Calibri" w:eastAsia="Calibri" w:hAnsi="Calibri" w:cs="Calibri"/>
        <w:color w:val="44506A"/>
        <w:sz w:val="16"/>
        <w:szCs w:val="16"/>
      </w:rPr>
      <w:fldChar w:fldCharType="separate"/>
    </w:r>
    <w:r>
      <w:rPr>
        <w:rFonts w:ascii="Calibri" w:eastAsia="Calibri" w:hAnsi="Calibri" w:cs="Calibri"/>
        <w:noProof/>
        <w:color w:val="44506A"/>
        <w:sz w:val="16"/>
        <w:szCs w:val="16"/>
      </w:rPr>
      <w:t>2</w:t>
    </w:r>
    <w:r>
      <w:rPr>
        <w:rFonts w:ascii="Calibri" w:eastAsia="Calibri" w:hAnsi="Calibri" w:cs="Calibri"/>
        <w:color w:val="445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A34E2" w14:textId="77777777" w:rsidR="008B05B3" w:rsidRDefault="008B05B3">
      <w:r>
        <w:separator/>
      </w:r>
    </w:p>
  </w:footnote>
  <w:footnote w:type="continuationSeparator" w:id="0">
    <w:p w14:paraId="569B5C57" w14:textId="77777777" w:rsidR="008B05B3" w:rsidRDefault="008B0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2DA1" w14:textId="77777777" w:rsidR="0077607C" w:rsidRDefault="0077607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73"/>
    <w:multiLevelType w:val="multilevel"/>
    <w:tmpl w:val="CF54517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CD054B"/>
    <w:multiLevelType w:val="multilevel"/>
    <w:tmpl w:val="997EE1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9287A"/>
    <w:multiLevelType w:val="multilevel"/>
    <w:tmpl w:val="0FB00F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7AE7A42"/>
    <w:multiLevelType w:val="multilevel"/>
    <w:tmpl w:val="F6A01C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F32EBC"/>
    <w:multiLevelType w:val="multilevel"/>
    <w:tmpl w:val="29E6AEC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CA07FB9"/>
    <w:multiLevelType w:val="multilevel"/>
    <w:tmpl w:val="59069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2C075D"/>
    <w:multiLevelType w:val="multilevel"/>
    <w:tmpl w:val="40428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B7054C"/>
    <w:multiLevelType w:val="multilevel"/>
    <w:tmpl w:val="D6F63CC4"/>
    <w:lvl w:ilvl="0">
      <w:start w:val="1"/>
      <w:numFmt w:val="decimal"/>
      <w:lvlText w:val="%1."/>
      <w:lvlJc w:val="left"/>
      <w:pPr>
        <w:ind w:left="643"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F6F1FBA"/>
    <w:multiLevelType w:val="multilevel"/>
    <w:tmpl w:val="BD388F4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15:restartNumberingAfterBreak="0">
    <w:nsid w:val="53162F57"/>
    <w:multiLevelType w:val="multilevel"/>
    <w:tmpl w:val="A00A49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3A2B7F"/>
    <w:multiLevelType w:val="multilevel"/>
    <w:tmpl w:val="D15EAE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5162071">
    <w:abstractNumId w:val="1"/>
  </w:num>
  <w:num w:numId="2" w16cid:durableId="1436828695">
    <w:abstractNumId w:val="0"/>
  </w:num>
  <w:num w:numId="3" w16cid:durableId="1422213063">
    <w:abstractNumId w:val="2"/>
  </w:num>
  <w:num w:numId="4" w16cid:durableId="922644978">
    <w:abstractNumId w:val="9"/>
  </w:num>
  <w:num w:numId="5" w16cid:durableId="380441073">
    <w:abstractNumId w:val="7"/>
  </w:num>
  <w:num w:numId="6" w16cid:durableId="303387926">
    <w:abstractNumId w:val="5"/>
  </w:num>
  <w:num w:numId="7" w16cid:durableId="1809082525">
    <w:abstractNumId w:val="6"/>
  </w:num>
  <w:num w:numId="8" w16cid:durableId="2072387588">
    <w:abstractNumId w:val="8"/>
  </w:num>
  <w:num w:numId="9" w16cid:durableId="1627394336">
    <w:abstractNumId w:val="3"/>
  </w:num>
  <w:num w:numId="10" w16cid:durableId="503513684">
    <w:abstractNumId w:val="4"/>
  </w:num>
  <w:num w:numId="11" w16cid:durableId="1325084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07C"/>
    <w:rsid w:val="0017547B"/>
    <w:rsid w:val="004766CC"/>
    <w:rsid w:val="006E05C6"/>
    <w:rsid w:val="0077607C"/>
    <w:rsid w:val="008B05B3"/>
    <w:rsid w:val="00941680"/>
    <w:rsid w:val="00AF1314"/>
    <w:rsid w:val="00B57F87"/>
    <w:rsid w:val="00ED2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7D33A1"/>
  <w15:chartTrackingRefBased/>
  <w15:docId w15:val="{BE589503-86BD-4742-AF51-91549D4A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07C"/>
    <w:pPr>
      <w:spacing w:after="0" w:line="240" w:lineRule="auto"/>
    </w:pPr>
    <w:rPr>
      <w:rFonts w:ascii="Times New Roman" w:eastAsia="Times New Roman" w:hAnsi="Times New Roman" w:cs="Times New Roman"/>
      <w:kern w:val="0"/>
      <w:sz w:val="20"/>
      <w:szCs w:val="20"/>
      <w:lang w:val="en"/>
      <w14:ligatures w14:val="none"/>
    </w:rPr>
  </w:style>
  <w:style w:type="paragraph" w:styleId="Heading1">
    <w:name w:val="heading 1"/>
    <w:basedOn w:val="Normal"/>
    <w:next w:val="Normal"/>
    <w:link w:val="Heading1Char"/>
    <w:uiPriority w:val="9"/>
    <w:qFormat/>
    <w:rsid w:val="00776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6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0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0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0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0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6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07C"/>
    <w:rPr>
      <w:rFonts w:eastAsiaTheme="majorEastAsia" w:cstheme="majorBidi"/>
      <w:color w:val="272727" w:themeColor="text1" w:themeTint="D8"/>
    </w:rPr>
  </w:style>
  <w:style w:type="paragraph" w:styleId="Title">
    <w:name w:val="Title"/>
    <w:basedOn w:val="Normal"/>
    <w:next w:val="Normal"/>
    <w:link w:val="TitleChar"/>
    <w:uiPriority w:val="10"/>
    <w:qFormat/>
    <w:rsid w:val="007760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07C"/>
    <w:pPr>
      <w:spacing w:before="160"/>
      <w:jc w:val="center"/>
    </w:pPr>
    <w:rPr>
      <w:i/>
      <w:iCs/>
      <w:color w:val="404040" w:themeColor="text1" w:themeTint="BF"/>
    </w:rPr>
  </w:style>
  <w:style w:type="character" w:customStyle="1" w:styleId="QuoteChar">
    <w:name w:val="Quote Char"/>
    <w:basedOn w:val="DefaultParagraphFont"/>
    <w:link w:val="Quote"/>
    <w:uiPriority w:val="29"/>
    <w:rsid w:val="0077607C"/>
    <w:rPr>
      <w:i/>
      <w:iCs/>
      <w:color w:val="404040" w:themeColor="text1" w:themeTint="BF"/>
    </w:rPr>
  </w:style>
  <w:style w:type="paragraph" w:styleId="ListParagraph">
    <w:name w:val="List Paragraph"/>
    <w:basedOn w:val="Normal"/>
    <w:uiPriority w:val="34"/>
    <w:qFormat/>
    <w:rsid w:val="0077607C"/>
    <w:pPr>
      <w:ind w:left="720"/>
      <w:contextualSpacing/>
    </w:pPr>
  </w:style>
  <w:style w:type="character" w:styleId="IntenseEmphasis">
    <w:name w:val="Intense Emphasis"/>
    <w:basedOn w:val="DefaultParagraphFont"/>
    <w:uiPriority w:val="21"/>
    <w:qFormat/>
    <w:rsid w:val="0077607C"/>
    <w:rPr>
      <w:i/>
      <w:iCs/>
      <w:color w:val="0F4761" w:themeColor="accent1" w:themeShade="BF"/>
    </w:rPr>
  </w:style>
  <w:style w:type="paragraph" w:styleId="IntenseQuote">
    <w:name w:val="Intense Quote"/>
    <w:basedOn w:val="Normal"/>
    <w:next w:val="Normal"/>
    <w:link w:val="IntenseQuoteChar"/>
    <w:uiPriority w:val="30"/>
    <w:qFormat/>
    <w:rsid w:val="00776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07C"/>
    <w:rPr>
      <w:i/>
      <w:iCs/>
      <w:color w:val="0F4761" w:themeColor="accent1" w:themeShade="BF"/>
    </w:rPr>
  </w:style>
  <w:style w:type="character" w:styleId="IntenseReference">
    <w:name w:val="Intense Reference"/>
    <w:basedOn w:val="DefaultParagraphFont"/>
    <w:uiPriority w:val="32"/>
    <w:qFormat/>
    <w:rsid w:val="0077607C"/>
    <w:rPr>
      <w:b/>
      <w:bCs/>
      <w:smallCaps/>
      <w:color w:val="0F4761" w:themeColor="accent1" w:themeShade="BF"/>
      <w:spacing w:val="5"/>
    </w:rPr>
  </w:style>
  <w:style w:type="paragraph" w:styleId="Footer">
    <w:name w:val="footer"/>
    <w:basedOn w:val="Normal"/>
    <w:link w:val="FooterChar"/>
    <w:uiPriority w:val="99"/>
    <w:unhideWhenUsed/>
    <w:rsid w:val="00B57F87"/>
    <w:pPr>
      <w:tabs>
        <w:tab w:val="center" w:pos="4680"/>
        <w:tab w:val="right" w:pos="9360"/>
      </w:tabs>
    </w:pPr>
  </w:style>
  <w:style w:type="character" w:customStyle="1" w:styleId="FooterChar">
    <w:name w:val="Footer Char"/>
    <w:basedOn w:val="DefaultParagraphFont"/>
    <w:link w:val="Footer"/>
    <w:uiPriority w:val="99"/>
    <w:rsid w:val="00B57F87"/>
    <w:rPr>
      <w:rFonts w:ascii="Times New Roman" w:eastAsia="Times New Roman" w:hAnsi="Times New Roman" w:cs="Times New Roman"/>
      <w:kern w:val="0"/>
      <w:sz w:val="20"/>
      <w:szCs w:val="20"/>
      <w:lang w:val="en"/>
      <w14:ligatures w14:val="none"/>
    </w:rPr>
  </w:style>
  <w:style w:type="character" w:styleId="PageNumber">
    <w:name w:val="page number"/>
    <w:basedOn w:val="DefaultParagraphFont"/>
    <w:uiPriority w:val="99"/>
    <w:semiHidden/>
    <w:unhideWhenUsed/>
    <w:rsid w:val="00B57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etsdefend.io/blog/nist-incident-response-preparation-phase" TargetMode="External"/><Relationship Id="rId26" Type="http://schemas.openxmlformats.org/officeDocument/2006/relationships/hyperlink" Target="https://en.wikipedia.org/wiki/NIST_Cybersecurity_Framework" TargetMode="External"/><Relationship Id="rId39" Type="http://schemas.openxmlformats.org/officeDocument/2006/relationships/hyperlink" Target="https://www.first.org/cvss/v4.0/specification-document" TargetMode="External"/><Relationship Id="rId21" Type="http://schemas.openxmlformats.org/officeDocument/2006/relationships/hyperlink" Target="https://doi.org/10.6028/NIST.SP.800-61r3" TargetMode="External"/><Relationship Id="rId34" Type="http://schemas.openxmlformats.org/officeDocument/2006/relationships/hyperlink" Target="https://cloud.google.com/blog/topics/threat-intelligence/2024-zero-day-trends" TargetMode="External"/><Relationship Id="rId42" Type="http://schemas.openxmlformats.org/officeDocument/2006/relationships/hyperlink" Target="https://doi.org/10.6028/NIST.CSWP.29"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fastercapital.com/content/Anomaly-Detection--Detecting-Suspicious-Behavior-with-IPS.html" TargetMode="External"/><Relationship Id="rId29" Type="http://schemas.openxmlformats.org/officeDocument/2006/relationships/hyperlink" Target="https://www.manageengine.com/compliance-manager/nist-csf-compliance/nist-csf-respond-function.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taylorwessing.com/de/global-data-hub/2025/digital-resilience-and-cyber-security/gdh---monitoring-preparedness-and-governance-under-eu-cyber-security-legislation" TargetMode="External"/><Relationship Id="rId32" Type="http://schemas.openxmlformats.org/officeDocument/2006/relationships/hyperlink" Target="https://csrc.nist.rip/Projects/Cybersecurity-Framework/Filters" TargetMode="External"/><Relationship Id="rId37" Type="http://schemas.openxmlformats.org/officeDocument/2006/relationships/hyperlink" Target="https://www.cisa.gov/resources-tools/resources/eviction-strategies-tool" TargetMode="External"/><Relationship Id="rId40" Type="http://schemas.openxmlformats.org/officeDocument/2006/relationships/hyperlink" Target="https://doi.org/10.6028/NIST.SP.800-61r3"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cs.fortinet.com/document/fortigate/7.4.2/ngfw-atp-concept-guide/868490/statistical-anomaly-based-detection" TargetMode="External"/><Relationship Id="rId23" Type="http://schemas.openxmlformats.org/officeDocument/2006/relationships/hyperlink" Target="https://baconunlimited.com/zero-day-vulnerability-response-plan/" TargetMode="External"/><Relationship Id="rId28" Type="http://schemas.openxmlformats.org/officeDocument/2006/relationships/hyperlink" Target="https://www.vectra.ai/topics/zero-day" TargetMode="External"/><Relationship Id="rId36" Type="http://schemas.openxmlformats.org/officeDocument/2006/relationships/hyperlink" Target="https://www.cisa.gov/news-events/directives/ed-25-03" TargetMode="External"/><Relationship Id="rId10" Type="http://schemas.openxmlformats.org/officeDocument/2006/relationships/image" Target="media/image3.png"/><Relationship Id="rId19" Type="http://schemas.openxmlformats.org/officeDocument/2006/relationships/hyperlink" Target="https://nvlpubs.nist.gov/nistpubs/specialpublications/nist.sp.800-184.pdf" TargetMode="External"/><Relationship Id="rId31" Type="http://schemas.openxmlformats.org/officeDocument/2006/relationships/hyperlink" Target="https://csf.tools/reference/nist-cybersecurity-framework/v2-0/gv/"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etsdefend.io/blog/nist-incident-response-preparation-phase" TargetMode="External"/><Relationship Id="rId14" Type="http://schemas.openxmlformats.org/officeDocument/2006/relationships/image" Target="media/image7.png"/><Relationship Id="rId22" Type="http://schemas.openxmlformats.org/officeDocument/2006/relationships/hyperlink" Target="https://doi.org/10.6028/NIST.CSWP.29" TargetMode="External"/><Relationship Id="rId27" Type="http://schemas.openxmlformats.org/officeDocument/2006/relationships/hyperlink" Target="https://www.mimecast.com/content/cybersecurity-governance/" TargetMode="External"/><Relationship Id="rId30" Type="http://schemas.openxmlformats.org/officeDocument/2006/relationships/hyperlink" Target="https://safe.security/resources/insights/nist-cybersecurity-framework/" TargetMode="External"/><Relationship Id="rId35" Type="http://schemas.openxmlformats.org/officeDocument/2006/relationships/hyperlink" Target="https://www.cisa.gov/known-exploited-vulnerabilities-catalog" TargetMode="External"/><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en.wikipedia.org/wiki/Anomaly-based_intrusion_detection_system" TargetMode="External"/><Relationship Id="rId25" Type="http://schemas.openxmlformats.org/officeDocument/2006/relationships/hyperlink" Target="https://safe.security/resources/insights/nist-cybersecurity-framework/" TargetMode="External"/><Relationship Id="rId33" Type="http://schemas.openxmlformats.org/officeDocument/2006/relationships/hyperlink" Target="https://www.paloaltonetworks.com/cyberpedia/what-is-nist-csf" TargetMode="External"/><Relationship Id="rId38" Type="http://schemas.openxmlformats.org/officeDocument/2006/relationships/hyperlink" Target="https://d3fend.mitre.org/tactic/d3f:Restore/" TargetMode="External"/><Relationship Id="rId46" Type="http://schemas.openxmlformats.org/officeDocument/2006/relationships/fontTable" Target="fontTable.xml"/><Relationship Id="rId20" Type="http://schemas.openxmlformats.org/officeDocument/2006/relationships/hyperlink" Target="https://nvlpubs.nist.gov/nistpubs/specialpublications/nist.sp.800-61r2.pdf" TargetMode="External"/><Relationship Id="rId41" Type="http://schemas.openxmlformats.org/officeDocument/2006/relationships/hyperlink" Target="https://doi.org/10.6028/NIST.SP.800-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5085</Words>
  <Characters>28990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Rubel, Nur Md</dc:creator>
  <cp:keywords/>
  <dc:description/>
  <cp:lastModifiedBy>Rubel, Nur Md</cp:lastModifiedBy>
  <cp:revision>3</cp:revision>
  <dcterms:created xsi:type="dcterms:W3CDTF">2026-07-09T07:34:00Z</dcterms:created>
  <dcterms:modified xsi:type="dcterms:W3CDTF">2026-10-28T19:31:00Z</dcterms:modified>
</cp:coreProperties>
</file>