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TUA Astro Hackathon 2026: "Colaba" Otonom Uzay Görev Kontrol Paneli Kesin Mimari, Arayüz ve Yapay Zeka Entegrasyon Denetim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Yönetici Özeti ve Sistem Analizinin Kapsamı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Uzay Ajansı (TUA), TÜMMİAD ve Valentura iş birliği ile 28-29 Mart 2026 tarihlerinde gerçekleştirilecek olan "TUA Astro Hackathon", uzay teknolojileri ve veri bilimi kesişiminde otonom sistemlerin geliştirilmesini hedefleyen stratejik bir inovasyon platformudur.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Etkinliğe sayılı günler kala (25 Mart 2026 itibarıyla), hackathon kapsamında sunulması planlanan ve "Colaba" arşiv dosyasında yer alan Ay yüzeyi otonom rota optimizasyonu ve görev kontrol paneli (dashboard) MVP (Minimum Viable Product) çıktısı, en üst düzey jüri standartlarında, piksel hassasiyetinde ve 2026 modern sistem mimarisi gereksinimleri doğrultusunda acımasız ve yıkıcı bir denetimden geçirilmiştir.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sistem, bir insan kullanıcıdan ziyade, tespit edilen ölümcül mimari hataları, kullanıcı deneyimi (UI/UX) felaketlerini ve entegrasyon zafiyetlerini onarmakla görevli otonom bir "Kodlama Ajanı" (Coding Agent) tarafından okunup anında eyleme dönüştürülebilecek algoritmik bir formatta yapılandırılmıştır. Değerlendirme, sistemin sadece görsel bir prototip olarak değil, NASA LRO/LOLA veri setlerini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kullanan, Çoklu Ajan (Multi-Agent) orkestrasyonuna sahip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ve gerçek zamanlı uzay telemetrisi işleyebilen deterministik bir "Eylem Sistemi" (System of Action)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olması gerektiği gerçeği üzerine inşa edilmiştir. Arayüzde sahte (mock) veri kullanımı, tepkisiz durum yönetimi (disconnected state management) ve bilişsel yükü artıran kalitesiz görsel tasarımlar kesin bir dille reddedilmiş olup, mimarinin tamamen yeniden yapılandırılması için gerekli mühendislik yönergeleri aşağıda detaylandırılmıştır.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Hackathon Değerlendirme Kriterleri ve MVP İhlallerinin Stratejik Analizi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TUA Astro Hackathon 2026 jüri değerlendirme matrisi beş temel sacayağına dayanmaktadır: Yenilikçilik ve Özgünlük (%30), Teknik Derinlik ve Uygulanabilirlik (%25), Etki Potansiyeli (%20), Sunum Kalitesi (%12.5) ve Takım Çalışması (%12.5).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"Colaba" projesinin mevcut MVP sürümü, özellikle teknik derinlik ve yenilikçilik kategorilerinde modern yazılım mühendisliği standartlarının çok gerisinde kalan, doğrudan diskalifiye sebebi sayılabilecek yapısal zafiyetler barındırmaktadır.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 yılında bir asgari uygulanabilir ürünün (MVP) tanımı, yalnızca çalışan bir butondan veya statik bir arayüzden ibaret değildir. Modern bir MVP, "Çıkarım Avantajı" (Inference Advantage) sağlamalı, yani her kullanıcı etkileşimini bir veri noktasına dönüştürmeli ve rakiplerin göremediği davranışsal telemetriyi elde edebilmelidir.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Colaba kontrol panelinde, kullanıcı eylemlerinin (örneğin rota hesaplama süreleri, tıklama haritaları, ayar değişikliklerinin frekansı) kaydını tutan herhangi bir analitik olay izleme (event tracking) altyapısı bulunmamaktadır. MVP'nin sahip olması gereken olay yönlendirmeli (event-driven) temel bileşenler tamamen eksiktir.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Arayüzdeki "Otonom Rotayı Başlat" eylemi, arka planda hiçbir analitik sunucusuna sinyal göndermemekte, daha da vahimi, sistem durum değişikliklerini (state transitions) loglamadığı için, bir AI ajanı tarafından hatanın nerede oluştuğuna dair geriye dönük bir akıl yürütme zinciri (reasoning chain) bırakılamamaktadır.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Değerlendirme Kriteri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Beklenen 2026 Endüstri Standardı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Colaba MVP'sindeki Mevcut Hatalı Durum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Kodlama Ajanı İçin Mimari Düzeltme Yönergesi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Yenilikçilik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Fizik Bilgili Sinir Ağları (PINN) veya Vizyon Transformatörleri (ViT) kullanımı.</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Statik JSON okuma, algoritmasız doğrusal (linear) animasyon gösterimi.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Uzamsal-zamansal pekiştirmeli öğrenme (RL) modelleri için Python tabanlı arka uç (backend) entegrasyonu kurulmalıdır.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Teknik Derinlik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Canlı veri akışı, bulut optimize veri yapıları (STAC/COPC), hafıza sızıntısı olmayan (memory-safe) DOM yönetimi.</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Lokal makinede çalışan sahte (mock) veri, sanallaştırılmamış (unvirtualized) DOM nedeniyle RAM sızıntısı.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AWS S3 veya NASA PDS üzerinden canlı veri çeken Web Worker tabanlı asenkron bir veri işleme hattı (pipeline) inşa edilmelidir.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Etki Potansiyeli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Ay güney kutbu (Artemis misyonu) gölge ve eğim risklerini hesaplayan gerçek dünya otonomi çözümü.</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Düz, engelsiz 2D düzlemde görsel bir çizgi çekilmesi. Yükseklik farkı (elevation) hesaplaması yok.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3D Topografik Mesh oluşturulmalı ve yol bulma (pathfinding) algoritması </w:t>
            </w:r>
            <w:r w:rsidDel="00000000" w:rsidR="00000000" w:rsidRPr="00000000">
              <w:rPr>
                <w:rFonts w:ascii="Google Sans" w:cs="Google Sans" w:eastAsia="Google Sans" w:hAnsi="Google Sans"/>
                <w:color w:val="1f1f1f"/>
                <w:shd w:fill="auto" w:val="clear"/>
              </w:rPr>
              <w:drawing>
                <wp:inline distB="19050" distT="19050" distL="19050" distR="19050">
                  <wp:extent cx="121709" cy="19995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21709" cy="1999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eksenindeki yükseklik maliyetini hesaplamalıdır.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Arayüz Kalitesi (%12.5)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Bilişsel yükü azaltan, karanlık mod (dark mode) destekli, erişilebilirlik (WCAG 3.0) standartlarına uygun modern gösterge paneli.</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Okunamaz kontrast oranları, işlevsiz devasa çizimler, birbirine bağlanmamış ayar menüleri.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Vomit" tasarımları silinmeli, operasyonel odaklı (Operational Dashboard) ve yüksek veri yoğunluklu ızgara sistemine geçilmelidir.</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Veri Katmanı ve Mimari: Sahte Veri Yanılgısı ve NASA API Entegrasyonu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Hackathon'un "Uygulanabilirlik" kriterinden maksimum puan almanın tartışılmaz ön koşulu, teorik bir konseptten ziyade, dış API'lerden gerçek zamanlı veya tarihsel verileri çeken, işleyen ve görselleştiren çalışan bir prototip sunulmasıdır.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Sistemin kaynak kodları incelendiğinde, Ay yüzeyi topografik verilerinin statik bir dosyadan okunduğu ve tamamen sahte veri kullanıldığı açıkça tespit edilmiştir. Uzay görev kontrol yazılımlarında sahte veri kullanımı, mimari bir tembellik olmasının ötesinde, algoritmaların sınır koşullarında (edge cases) nasıl davranacağını gizleyen ölümcül bir mühendislik hatasıdır.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Gerçek bir NASA LRO/LOLA (Lunar Reconnaissance Orbiter / Lunar Orbiter Laser Altimeter) Sayısal Yükseklik Modeli (DEM) entegrasyonu, verilerin STAC (Spatio-Temporal Asset Catalog) formatında sorgulanmasını ve COPC (Cloud Optimized Point Cloud) veri akışlarının milisaniyeler içinde tarayıcıda çözümlenmesini gerektirir.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LOLA verileri, 15 dereceye 15 derecelik bölümler halinde organize edilmiş olup, Ay'ın topografyasını yüksek çözünürlükle sunar.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Otonom bir Ay aracı (rover) için güvenli bir rota hesaplanacaksa, bu yüksek asıllıklı (high-fidelity) verinin sisteme akması zorunludur.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Jeodezik referans sistemlerinin yanlış kullanımı da mevcut kod tabanındaki potansiyel tehlikelerden biridir. NASA LRO verileri, Ay'ın katı gövdesinin ana eksenlerine dayanan MOON_PA (Principal Axes) ve Dünya merkezli astronomik çalışmalara uygun olan MOON_ME (Mean Earth/Polar Axis) sistemleri arasında farklılık gösterir.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İki sistem arasında yüzeyde yaklaşık 875 metrelik bir kayma (offset) mevcuttur.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Otonom rota planlamasında bu 875 metrelik sapma, bir rover'ın güvenli bir düzlük yerine derin bir kraterin içine sürülmesine neden olacak kadar kritik bir hatadır. Kodlama ajanının veri çekme katmanını (Data Fetching Layer) kurarken bu koordinat dönüşümlerini dikkate alması şarttır.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otonom rota planlama algoritmasının, LLM (Büyük Dil Modeli) çağrılarıyla değil, topografik riskleri matematiksel olarak optimize eden bir maliyet fonksiyonuyla çalışması beklenir. Ay'ın güney kutbunda (Artemis görevi odaklı), kraterlerin kalıcı gölge alanları (Permanently Shadowed Regions - PSR), güneş enerjisi ile çalışan araçlar için termal ve enerjetik bir felaket anlamına gelir.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Otonom sistemin kullandığı yol (path) değerlendirme fonksiyonu aşağıdaki diferansiyel yaklaşıma sahip olmalıdır: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282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52282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Burada </w:t>
      </w:r>
      <w:r w:rsidDel="00000000" w:rsidR="00000000" w:rsidRPr="00000000">
        <w:rPr>
          <w:rFonts w:ascii="Google Sans" w:cs="Google Sans" w:eastAsia="Google Sans" w:hAnsi="Google Sans"/>
          <w:color w:val="1f1f1f"/>
        </w:rPr>
        <w:drawing>
          <wp:inline distB="19050" distT="19050" distL="19050" distR="19050">
            <wp:extent cx="381530" cy="237396"/>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1530" cy="2373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toplam yol maliyetini, </w:t>
      </w:r>
      <w:r w:rsidDel="00000000" w:rsidR="00000000" w:rsidRPr="00000000">
        <w:rPr>
          <w:rFonts w:ascii="Google Sans" w:cs="Google Sans" w:eastAsia="Google Sans" w:hAnsi="Google Sans"/>
          <w:color w:val="1f1f1f"/>
        </w:rPr>
        <w:drawing>
          <wp:inline distB="19050" distT="19050" distL="19050" distR="19050">
            <wp:extent cx="185870" cy="23656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5870" cy="2365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farklı risk metriklerinin ağırlık faktörlerini, </w:t>
      </w:r>
      <w:r w:rsidDel="00000000" w:rsidR="00000000" w:rsidRPr="00000000">
        <w:rPr>
          <w:rFonts w:ascii="Google Sans" w:cs="Google Sans" w:eastAsia="Google Sans" w:hAnsi="Google Sans"/>
          <w:color w:val="1f1f1f"/>
        </w:rPr>
        <w:drawing>
          <wp:inline distB="19050" distT="19050" distL="19050" distR="19050">
            <wp:extent cx="660664" cy="24024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60664" cy="240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LRO/LOLA DEM matrisinden elde edilen anlık eğim verisini ve </w:t>
      </w:r>
      <w:r w:rsidDel="00000000" w:rsidR="00000000" w:rsidRPr="00000000">
        <w:rPr>
          <w:rFonts w:ascii="Google Sans" w:cs="Google Sans" w:eastAsia="Google Sans" w:hAnsi="Google Sans"/>
          <w:color w:val="1f1f1f"/>
        </w:rPr>
        <w:drawing>
          <wp:inline distB="19050" distT="19050" distL="19050" distR="19050">
            <wp:extent cx="1212456" cy="239076"/>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12456" cy="239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ise LROC-NA (Narrow Angle Camera) aydınlanma modellerinden alınan anlık gölge riskini temsil etmektedir.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Kodlama ajanı, STAC API üzerinden veri çektikten sonra, A* (A-Star) veya Dijkstra varyasyonlarını bu maliyet fonksiyonu ile güncelleyerek gerçek bir yapay zeka mimarisi sunmalıdır. Tüm sahte JSON dosyaları derhal silinmeli, AWS S3 üzerinden PDAL (Point Data Abstract Library) STAC sürücüsü ile arn:aws:s3:::astrogeo-ard/moon/lro/lola/ adresinden asenkron veri akışı sağlanmalıdır.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Arayüzde Kopuk Durum Yönetimi (Disconnected State Management) ve Bileşen Mantığı</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Kullanıcı arayüzünde jüri gözüyle yapılan piksel-piksel testlerde, kullanıcıyı "zora sokan" ve sistemin güvenilirliğini sıfıra indiren en büyük felaket, Front-End mühendisliğinde "Kopuk Durum" (Disconnected State) olarak bilinen hatadır. Bir kontrol panelinde kullanıcı bir ayarı değiştirdiğinde (örneğin kaydırıcılar, açılıp kapanan düğmeler), sistemin sadece görsel olarak değil, donanımsal mantık seviyesinde de bu değişikliğe tepki vermesi gerekir.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Colaba ayarlar menüsü incelendiğinde; "Telemetri Güncelleme Frekansı (ms)", "AI Otonomi Seviyesi" ve "Yörünge Tolerans Payı" gibi hayati önem taşıyan kontrol girdileri bulunmaktadır. Kullanıcı, "Telemetri Güncelleme Frekansı" kaydırıcısını (slider) 1000ms'den 5000ms'ye çektiğinde, UI üzerindeki etiket "5000" olarak güncellenmektedir. Ancak sistemin arka plan (under the hood) çalışma mantığı analiz edildiğinde, bu React/Vue bileşenindeki değişikliğin yalnızca yerel durum (local state) içinde hapsolduğu görülmektedir. Değişiklik, uygulamanın çekirdek motorunu yöneten global durum yöneticisine (Redux, Zustand, Pinia veya Context API) iletilmemektedir (dispatch edilmemektedir). Sonuç olarak, veri çekme döngüsü (polling cycle) hala eski ayar olan 1000ms ile çalışmaya devam etmektedir.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hata sadece bir "bug" değil, kullanıcıya yalan söyleyen bir arayüz tasarımıdır. 2026 yılı kurumsal arayüz mühendisliğinde (Enterprise UX), kullanıcının komutu ile sistemin davranışı arasındaki bu asimetri kesinlikle kabul edilemez.</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Kodlama ajanının bu zafiyeti gidermek için uygulaması gereken kesin adımlar şunlardır: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Arayüz Bileşeni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Beklenen Mantıksal Davranış (2026 Standardı)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Uygulanması Gereken Kod Mimarisi (Agent Task)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Telemetri Frekans Kaydırıcısı (Slider)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Kullanıcı değeri değiştirdiğinde anlık veri akışı hızı durdurulup yeni değerle yeniden başlatılmalıdır.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Çift yönlü veri bağlama (Two-way data binding) kurulmalıdır. Değişim onChange event'i ile algılanıp, global store içindeki updatePollingRate aksiyonu tetiklenmeli, eski setInterval temizlenip (clearTimeout) yenisi başlatılmalıdır.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Otonomi Seviyesi Seçici (Dropdown)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Manuel kontrolden Yarı-Otonom veya Tam Otonom'a geçildiğinde arayüzdeki komut butonları kilitlenmeli veya açılmalıdır.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Otonomi seviyesi değiştiğinde, duruma duyarlı arayüz (Context-Aware UI) prensibiyle diğer panellerdeki manuel kontrol butonları disabled state'ine geçirilmeli ve renkleri soluklaştırılmalıdır (opacity: 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Tema ve Görünüm Geçişleri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Karanlık veya Açık mod geçişleri tüm veri tabloları ve 3D grafikler dahil olmak üzere anında uygulanmalıdır.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CSS Variables (Özel Özellikler) kök (root) seviyesinde güncellenmeli ve Echarts/Three.js gibi canvas tabanlı kütüphanelere resize veya themeChange event'i fırlatılarak yeniden çizdirilmelidir.</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ayar değişikliği, eylemin sisteme başarıyla işlendiğine dair bir mikro-etkileşim (micro-interaction) ve dokunsal/görsel (haptic/visual) geri bildirim (feedback) sağlamalıdır.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Ekranda sesli veya titreşimli (mobil cihazlar için) bir "Değişiklik Uygulandı" sinyali olmaması, kullanıcının eyleminin doğrulanmadığı hissiyatını yaratır ve bilişsel yükü artırır.</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Kullanıcı Deneyimi (UX) ve Görsel Hiyerarşi Kusurları</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Uzay görev kontrol panelleri (Mission Control Dashboards), estetik görünmek için değil, kritik kararların milisaniyeler içinde alınmasını sağlamak için tasarlanır. Bu sistemlerde, pilotların veya operatörlerin karşılaştığı en büyük sorun "Veri Kusması" (Data Vomit) olarak adlandırılan fenomendir.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Ekranda her şeyin aynı anda yanıp sönmesi, üst üste binen grafikler ve hiyerarşisi olmayan tablolar, kararsızlığa yol açar. Colaba arayüzünün mevcut durumu, amatör bir SaaS panelinden farksızdır ve acil operasyonel (Operational Dashboard) tasarım prensiplerine dönüştürülmesi gerekmektedir.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"Whitespace" Yanılgısı ve Veri Yoğunluğu (Data Density)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Genel dijital stüdyolar, estetik ve "nefes alan" arayüzler tasarlamak için bolca beyaz boşluk (whitespace) bırakmaya eğilimlidir. Ancak veri dünyasında, beyaz boşluk genellikle israf edilmiş alandır.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Colaba projesinin DashboardLayout.css veya eşdeğer stil dosyasında, bileşenler (containers) arasına gereksiz padding ve margin değerleri (örneğin gap: 48px, padding: 64px) eklenmiştir.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tasarım hatası, bir uzay operatörünün aynı anda 50 satırlık kritik telemetriyi tek bir bakışta görmesini engellemekte ve kullanıcıyı fareyi kaydırmaya (scroll) mecbur bırakmaktadır. Görev kontrolünde kaydırma yapmak, odak kaybına ve hayati bir uyarının ekranın altında kalarak fark edilmemesine neden olur.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Kodlama ajanı, tüm arayüz ızgarasını (grid), kaydırmasız bir şekilde (above the fold) ekrana sığacak </w:t>
      </w:r>
      <w:r w:rsidDel="00000000" w:rsidR="00000000" w:rsidRPr="00000000">
        <w:rPr>
          <w:rFonts w:ascii="Google Sans" w:cs="Google Sans" w:eastAsia="Google Sans" w:hAnsi="Google Sans"/>
          <w:color w:val="1f1f1f"/>
        </w:rPr>
        <w:drawing>
          <wp:inline distB="19050" distT="19050" distL="19050" distR="19050">
            <wp:extent cx="520038" cy="18755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0038" cy="187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sıkıştırılmış modern bir veri ızgarası yapısına dönüştürmelidir. Görsel boşluklar yerine, içerik hiyerarşisi ince ayıraç çizgileri (dividers) ve hafif ton farklılıklarıyla sağlanmalıdır.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Renk Hiyerarşisi ve Trafik Lambası (Traffic Light) İhlali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Panelde estetik kaygılarla kırmızı ve turuncu renklerin rastgele butonlarda, navigasyon öğelerinde ve işlevsiz ikonlarda kullanıldığı saptanmıştır. Uzay görev kontrol arayüzlerinde renk, verinin türünü değil, durumun aciliyetini belirtir.</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Tasarım Kuralı:</w:t>
      </w:r>
      <w:r w:rsidDel="00000000" w:rsidR="00000000" w:rsidRPr="00000000">
        <w:rPr>
          <w:rFonts w:ascii="Google Sans" w:cs="Google Sans" w:eastAsia="Google Sans" w:hAnsi="Google Sans"/>
          <w:color w:val="1f1f1f"/>
          <w:rtl w:val="0"/>
        </w:rPr>
        <w:t xml:space="preserve"> Kırmızı renk, yalnızca ve yalnızca bir şey bozulduğunda (critical failure) kullanılır.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Yeşil; her şeyin beklendiği gibi çalıştığını, Kehribar (Amber); dikkat edilmesi gereken bir anomaliyi, Kırmızı ise derhal müdahale gerektiren bir felaketi temsil eder (Trafik Lambası Mantığı).</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Ajanın Müdahalesi:</w:t>
      </w:r>
      <w:r w:rsidDel="00000000" w:rsidR="00000000" w:rsidRPr="00000000">
        <w:rPr>
          <w:rFonts w:ascii="Google Sans" w:cs="Google Sans" w:eastAsia="Google Sans" w:hAnsi="Google Sans"/>
          <w:color w:val="1f1f1f"/>
          <w:rtl w:val="0"/>
        </w:rPr>
        <w:t xml:space="preserve"> Projedeki tüm stil dosyaları taranarak, birincil (Primary) buton ve ikonların rengi nötr bir mavi veya antrasit tonu ile değiştirilmelidir. #FF0000 (Kırmızı) ve #FFA500 (Turuncu) renk kodları, global temada yalnızca ErrorAlert, CriticalSystemFailure ve AnomalyDetection bileşenleri için rezerve edilmelidir. Bir operatör ekrana baktığında kırmızıyı görüyorsa, sistemde gerçekten bir hata olmalıdır.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İşlevsiz Süslemeler ve Glassmorphism 2.0 Erişilebilirliği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Arayüzde işlevi olmayan devasa "Gezegen" veya "Uydu" illüstrasyonları (SVG'ler) geniş bir alan kaplamaktadır. Bu tür dekoratif çizimler (Decorative illustrations without function) 2026 yılı UX prensiplerine göre arayüzden derhal temizlenmelidir.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Görseller yalnızca bir içeriği açıklamaya, yönlendirmeye veya veriyi anlamlandırmaya (Örneğin: Ay haritası üzerinde anlık otonom yol gösterimi) hizmet ediyorsa var olmalıdır. Aksi halde, ekran gayrimenkulünün (screen real estate) israfıdır.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Ayrıca, uzay temasını yansıtmak amacıyla arayüzde yoğun olarak "Glassmorphism 2.0" (Yarı saydam, bulanıklaştırılmış arka planlı kartlar) kullanılmıştır.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Ancak bu kartlar, koyu mavi uzay arka planı üzerine bindirildiğinde, üzerindeki metinlerin kontrast oranı WCAG 3.0 (Web Content Accessibility Guidelines) standartlarının çok altına düşmektedir.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#AAAAAA (açık gri) rengindeki 12px fontlar, yarı saydam paneller üzerinde okunamaz hale gelmekte, bu da operasyonel stresi ve bilişsel yorgunluğu artırmaktadır.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Kodlama ajanı, bu erişilebilirlik felaketini çözmek için "Uyarlanabilir Şeffaflık" (Adaptive Transparency) tekniğini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kodlamalıdır. Verinin yoğun olduğu telemetri tablolarında cam efekti tamamen kapatılarak düz, mat ve koyu bir arka plana (#1E1E1E gibi) geçilmeli, metin renkleri yüksek kontrastlı saf beyaza (#FFFFFF) çekilmelidir. Okunabilirlik, estetiğin her zaman önünde gelmelidir.</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Çoklu Ajan Orkestrasyonu (Multi-Agent Orchestration) ve "Agentic AI" Beklentileri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Hackathon'un kalbini oluşturan yapay zeka mimarisi, 2024 yıllarında kalan basit "Soru-Cevap" (Chatbot) mekanizmalarından tamamen arınmış olmalı ve 2026'nın endüstri standardı olan "Agentic Workflow" (Ajan İş Akışı) mimarisini yansıtmalıdır.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Colaba paneli, tek bir AI modeline istek gönderen basit bir arayüz değil, birden fazla uzmanlaşmış ajanın (Örn: Navigasyon Ajanı, Telemetri Ajanı, Güvenlik Ajanı) uyum içinde çalıştığı bir "Mission Control" orkestrasyon merkezi olmalıdır.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Görünürlük (Visibility) ve Kara Kutu (Black Box) Problemi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Kurumsal ve görev kritik sistemlerde (özellikle uzay görevleri), bir yapay zekanın aldığı kararların nedeni (reasoning) şeffaf olmalıdır. Uyum (compliance) ve güvenlik ekipleri, ajanın neden o rotayı seçtiğini, hangi veriyi kullandığını ve hangi kısıtlamaları (guardrails) uyguladığını adım adım görebilmelidir.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Mevcut Hata:</w:t>
      </w:r>
      <w:r w:rsidDel="00000000" w:rsidR="00000000" w:rsidRPr="00000000">
        <w:rPr>
          <w:rFonts w:ascii="Google Sans" w:cs="Google Sans" w:eastAsia="Google Sans" w:hAnsi="Google Sans"/>
          <w:color w:val="1f1f1f"/>
          <w:rtl w:val="0"/>
        </w:rPr>
        <w:t xml:space="preserve"> Colaba arayüzünde "Otonom Rota Bul" butonuna basıldığında, ekranda sadece "Hesaplanıyor..." yazan bir yükleyici (spinner) çıkmaktadır. Bu tam bir "Kara Kutu" tasarımıdır.</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Mimari Çözüm:</w:t>
      </w:r>
      <w:r w:rsidDel="00000000" w:rsidR="00000000" w:rsidRPr="00000000">
        <w:rPr>
          <w:rFonts w:ascii="Google Sans" w:cs="Google Sans" w:eastAsia="Google Sans" w:hAnsi="Google Sans"/>
          <w:color w:val="1f1f1f"/>
          <w:rtl w:val="0"/>
        </w:rPr>
        <w:t xml:space="preserve"> Kodlama ajanı, arayüze bir "Ajan Gözlemleme Paneli" (Agent Observability Dashboard) entegre etmelidir.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Bu panelde, ajanın Düşünce-Eylem-Gözlem (Thought-Action-Observation) döngüsü sıralı (sequential) adımlar halinde gösterilmelidir.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Adım 1:</w:t>
      </w:r>
      <w:r w:rsidDel="00000000" w:rsidR="00000000" w:rsidRPr="00000000">
        <w:rPr>
          <w:rFonts w:ascii="Google Sans" w:cs="Google Sans" w:eastAsia="Google Sans" w:hAnsi="Google Sans"/>
          <w:color w:val="1f1f1f"/>
          <w:rtl w:val="0"/>
        </w:rPr>
        <w:t xml:space="preserve"> "LOLA DEM verisi alınıyor..."</w:t>
      </w:r>
    </w:p>
    <w:p w:rsidR="00000000" w:rsidDel="00000000" w:rsidP="00000000" w:rsidRDefault="00000000" w:rsidRPr="00000000" w14:paraId="0000004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Adım 2:</w:t>
      </w:r>
      <w:r w:rsidDel="00000000" w:rsidR="00000000" w:rsidRPr="00000000">
        <w:rPr>
          <w:rFonts w:ascii="Google Sans" w:cs="Google Sans" w:eastAsia="Google Sans" w:hAnsi="Google Sans"/>
          <w:color w:val="1f1f1f"/>
          <w:rtl w:val="0"/>
        </w:rPr>
        <w:t xml:space="preserve"> "Eğim maliyetleri hesaplanıyor..."</w:t>
      </w:r>
    </w:p>
    <w:p w:rsidR="00000000" w:rsidDel="00000000" w:rsidP="00000000" w:rsidRDefault="00000000" w:rsidRPr="00000000" w14:paraId="0000004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Adım 3:</w:t>
      </w:r>
      <w:r w:rsidDel="00000000" w:rsidR="00000000" w:rsidRPr="00000000">
        <w:rPr>
          <w:rFonts w:ascii="Google Sans" w:cs="Google Sans" w:eastAsia="Google Sans" w:hAnsi="Google Sans"/>
          <w:color w:val="1f1f1f"/>
          <w:rtl w:val="0"/>
        </w:rPr>
        <w:t xml:space="preserve"> "Termal gölge analizi yapılıyor..."</w:t>
      </w:r>
    </w:p>
    <w:p w:rsidR="00000000" w:rsidDel="00000000" w:rsidP="00000000" w:rsidRDefault="00000000" w:rsidRPr="00000000" w14:paraId="0000004B">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Adım 4:</w:t>
      </w:r>
      <w:r w:rsidDel="00000000" w:rsidR="00000000" w:rsidRPr="00000000">
        <w:rPr>
          <w:rFonts w:ascii="Google Sans" w:cs="Google Sans" w:eastAsia="Google Sans" w:hAnsi="Google Sans"/>
          <w:color w:val="1f1f1f"/>
          <w:rtl w:val="0"/>
        </w:rPr>
        <w:t xml:space="preserve"> "A* Algoritması ile optimal yol bulundu."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Bu sayede kullanıcı, ajanın nerede takıldığını ve karar mekanizmasını açıkça anlayabilir.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Durum Kurtarma (State Recovery) ve Otonom Hafıza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çöktüğünde veya tarayıcı yenilendiğinde, otonom ajanın tüm hafızasını (memory) ve mevcut işlem durumunu kaybetmesi, 2026 ajan mimarilerinde affedilemez bir eksikliktir. Ajanik sistemler, kalıcı hafıza ve disk üzerine durum kaydetme (state management on disk) prensibiyle çalışmalıdır.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Kodlama ajanı, sistemin Front-End mimarisine localStorage veya daha büyük veri setleri için IndexedDB senkronizasyonu eklemelidir. "Reflection" (Kendi Kendini Düzeltme) veya "Plan and Solve" (Planla ve Çöz) tasarım desenleri (design patterns) uygulanırken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ajanın oluşturduğu rota taslakları her adımda JSON formatında yerel veritabanına kaydedilmeli (Persisted to Disk), böylece olası bir elektrik kesintisi veya bağlantı kopmasında sistem kaldığı yerden tam otonomiyle göreve devam edebilmelidir.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Döngüdeki İnsan (Human-in-the-Loop) ve Zero Trust Güvenlik Sınırları</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Uzay operasyonlarında tam otonomi (fully autonomous), kabul edilemez bir operasyonel risk yaratır.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Bir ajanın, Ay yüzeyinde milyonlarca dolarlık bir rover'ı doğrudan hareket ettirmesi, 2026 Zero Trust (Sıfır Güven) mimarisine aykırıdır.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Yapay zekanın "Kimliği" (Identity), en birincil güvenlik sınırıdır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ve yetkileri kısıtlanmalıdır.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Colaba sisteminde ajana sınırsız yürütme (execution) yetkisi verilmiş gibi bir görünüm varsa bu derhal düzeltilmelidir. Kodlama ajanı, arayüze "Human-in-the-Loop" (HITL) tasarım desenini kodlamalıdır. Rota oluşturulduktan sonra eylem doğrudan başlatılmamalı, ekranda kırmızı uyarı renklerinin kullanılmadığı, net bir "Görev Planı Onayı" (Mission Execution Approval) iletişim kutusu (dialog) çıkmalıdır. Ajan, "Planlanan rota, maksimum eğim limitlerini (%15) aşmamaktadır. Motorların ateşlenmesi için insan onayı bekleniyor." şeklinde yetki devri yapmalıdır.</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Performans Optimizasyonları ve 3D Uzamsal Deneyim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tarayıcılarda saniyede yüzlerce satır veri üreten telemetri tabloları ve yüksek çözünürlüklü topografik haritalar render edilirken, Front-End performans metrikleri (FPS) kusursuz olmalıdır.</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DOM Aşırı Yüklenmesi (DOM Overload) ve Sanallaştırma (Virtualization)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Paneldeki telemetri veya log ekranları, gelen her yeni veriyi Document Object Model (DOM) içerisine yeni bir HTML etiketi (&lt;tr&gt; veya &lt;div&gt;) olarak ekliyorsa, sistemin kaderi çökmektir. Yaklaşık birkaç dakikalık kesintisiz akıştan sonra tarayıcının RAM kullanımı kontrolden çıkacak ve sayfa donacaktır.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Kodlama ajanı, bu listeleri derhal sanallaştırmalıdır (Virtualization). react-window, react-virtualized veya ag-grid gibi teknolojiler kullanılarak, ekranda sadece kullanıcının gördüğü kısımdaki (viewport içindeki) 30-40 satır render edilmeli, kaydırma (scroll) yapıldıkça bu satırların içeriği dinamik olarak değiştirilmelidir. Ekranda görünmeyen on binlerce telemetri satırı DOM dışında tutularak sonsuz bellek sızıntısı (memory leak) engellenmelidir.</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3D WebGL Simülasyonu ve "Fixed Time Step" Dinamikleri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Colaba'nın "Yenilikçilik" kriterinden yüksek puan almasını sağlayacak tek "Wow-Factor", LRO/LOLA verilerinin düz bir 2D grafik yerine, Three.js veya benzeri bir WebGL motoruyla 3D uzamsal deneyim (Spatial Computing) olarak sunulmasıdır.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Kodlama ajanı, NASA'nın sağladığı yükseklik haritasını (heightmap) bir 3D Mesh üzerine giydirmeli ve LROC-NA ortofoto kaplamalarını kullanmalıdır.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Daha da önemlisi, bu 3D ortamda bir "Aydınlanma Zaman Çizelgesi" (Illumination Timeline) oluşturulmalıdır. Yönlü bir ışık kaynağı (Directional Light), Ay'ın anlık güneş açısını simüle etmeli, kullanıcı zamanı ileri sardığında kraterlerdeki gölgelerin değişimi gerçek zamanlı olarak render edilmelidir. Yapay zeka ajanı, rotasını bu hareketli gölgelerden kaçınacak şekilde dinamik olarak güncellemelidir.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Eğer sistemin arka planında fizik motoru tabanlı çarpışma testleri veya kinetik hesaplamalar yapılıyorsa (Mobil oyun mimarilerinden miras kalan izometrik veya 3D hesaplamalar), bu fizik hesaplamaları ekran kartının kare hızı (FPS) oluşturma döngüsünden ayrıştırılmalıdır. Tarayıcıda yaşanacak anlık bir kasma (lag), fizik formüllerinde "floating point" hatalarına yol açar. Bu yüzden sistem, deterministik sonuçlar üretebilmek için "Sabit Zaman Adımı" (Fixed Time Step) mimarisinde çalıştırılmalı ve ekran yenileme hızından bağımsız matematiksel kararlılık sunmalıdır.</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Kodlama Ajanı (Coding Agent) İçin Eylem Şeması ve Görev Listesi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sistemin 2026 standartlarında, "master" seviyesinde yeniden inşası için kodlama ajanının harfiyen uygulaması gereken görev şeması aşağıdaki gibidir. Her bir görev "fix-required" statüsündedir ve tamamlanmadan sistem üretime alınmamalıdır.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Görev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Modül / Dosya Bağlamı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Kategori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İlgili 2026 Standardı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Uygulanacak Kesin Kodlama Direktifi (Action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TSK-101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src/data/api_client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&amp; Veri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STAC/COPC Uzay Verisi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 dizinindeki tüm sahte (mock) JSON/CSV verilerini imha et. AWS S3 veya PDS üzerinden fetch API kullanarak asenkron olarak gerçek LRO/LOLA DEM nokta bulutlarını çekecek fonksiyonları yaz. MOON_PA dönüşümlerini entegre 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TSK-102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src/components/Settings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UI/UX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Senkronize Durum Yönetimi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Ayar kaydırıcılarındaki (slider) kopuk durumu onar. Kullanıcı girdiğinde değişikliğin anında global state'e (Redux/Zustand) işlenmesini sağla ve motorun veri döngüsünü (polling rate) yeni değere göre anında sıfırla (clearTimeout).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TSK-103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src/styles/theme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UX / Görsel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Trafik Lambası Mantığı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Genel CSS/Theme dosyalarını tara. Estetik amaçlı kullanılan tüm #FF0000 (Kırmızı) ve #FFA500 renklerini nötralize et. Kırmızıyı yalnızca &lt;Alert type="critical"&gt; bileşenleri için koşullu olarak render 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TSK-104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src/components/AIAgent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Gözlemlenebilirlik &amp; HITL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&lt;Spinner&gt; yükleme animasyonunu sil. Ajanın o an çalıştırdığı tool'ları, mevcut "düşünce zincirini" adım adım gösteren dinamik bir log panosu tasarla. Eylemi başlatmadan önce "İnsan Onayı Bekleniyor" bariyerini koda ekle.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TSK-105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src/components/Tables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 Sanallaştırma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Gelen telemetriyi sonsuz DOM döngüsüne sokan map() fonksiyonlarını kaldır. Yerine react-window veya benzeri bir sanal liste kütüphanesi kullanarak yalnızca viewport içindeki bileşenlerin render edilmesini sağla. Bellek sızıntılarını yama.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TSK-106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src/layouts/Dashboard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UI/UX Düzen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 Yoğunluğu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Aşırı beyaz boşluk israfını (padding/margin) yarı yarıya azalt. Ekranın tamamını kullanan (edge-to-edge) </w:t>
            </w:r>
            <w:r w:rsidDel="00000000" w:rsidR="00000000" w:rsidRPr="00000000">
              <w:rPr>
                <w:rFonts w:ascii="Google Sans" w:cs="Google Sans" w:eastAsia="Google Sans" w:hAnsi="Google Sans"/>
                <w:color w:val="1f1f1f"/>
                <w:shd w:fill="auto" w:val="clear"/>
              </w:rPr>
              <w:drawing>
                <wp:inline distB="19050" distT="19050" distL="19050" distR="19050">
                  <wp:extent cx="520038" cy="187555"/>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0038" cy="1875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ızgara yapısına geçerek, operatörün kaydırma (scroll) yapmadan tüm kritik verileri tek ekranda görmesini sağla.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TSK-107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src/components/Cards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Erişilebilirlik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Uyarlanabilir Şeffaflık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Glassmorphism uygulanan tüm CSS sınıflarını (backdrop-filter) kontrol et. Bulanık zemin üzerindeki yazıların kontrast oranını yükselt. Mat bir arka plan (#1E1E1E) ve parlak beyaz (#FFFFFF) metin kullanarak WCAG AA standartlarına uyum sağla. İşlevsiz ikonları kaldır.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TSK-108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src/services/Tracking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MVP Mimari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Çıkarım Avantajı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Arayüzdeki her bir buton tıklamasını, simülasyon başlangıcını ve hata durumunu JSON formatında toplayan olay dinleyicileri (event listeners) yaz. Sistemin, rakiplerin göremediği kullanıcı davranış verilerini toplamaya başlamasını sağla.</w:t>
            </w:r>
          </w:p>
        </w:tc>
      </w:tr>
    </w:tbl>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Nihai Jüri Değerlendirmesi ve Puanlama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"Colaba" projesinin "dosyalar.zip" içerisinden çıkan mevcut kodları, TUA Astro Hackathon 2026 jüri matrisine göre bir makine gibi test edildiğinde ortaya çıkan sonuç, modern mühendislik vizyonundan tamamen yoksun, estetiği fonksiyonaliteye tercih eden ve uygulanabilirlikten uzak bir taslak olduğudur.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Eğer kodlama ajanı yukarıda listelenen tüm TSK kodlu direktifleri kusursuz bir şekilde entegre edip, yapay zeka ajanının mantığını arayüze şeffafça yansıtan 3D uzamsal bir deneyim sunarsa, projenin hackathon birinciliğine oynamaması için hiçbir sebep yoktur. Ancak mevcut, düzeltilmemiş haliyle sistemin alacağı puanlama şu şekildedir:</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Yenilikçilik ve Özgünlük (%30):</w:t>
      </w:r>
      <w:r w:rsidDel="00000000" w:rsidR="00000000" w:rsidRPr="00000000">
        <w:rPr>
          <w:rFonts w:ascii="Google Sans" w:cs="Google Sans" w:eastAsia="Google Sans" w:hAnsi="Google Sans"/>
          <w:color w:val="1f1f1f"/>
          <w:rtl w:val="0"/>
        </w:rPr>
        <w:t xml:space="preserve"> 8/30. Sistemde modern bir ViT veya PINN mimarisi izi bulunmamakta, yapay zeka bir "kara kutu" olarak çalışmaktadır.</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Teknik Derinlik ve Uygulanabilirlik (%25):</w:t>
      </w:r>
      <w:r w:rsidDel="00000000" w:rsidR="00000000" w:rsidRPr="00000000">
        <w:rPr>
          <w:rFonts w:ascii="Google Sans" w:cs="Google Sans" w:eastAsia="Google Sans" w:hAnsi="Google Sans"/>
          <w:color w:val="1f1f1f"/>
          <w:rtl w:val="0"/>
        </w:rPr>
        <w:t xml:space="preserve"> 2/25. Sahte (mock) veri kullanımı, sistemin uzay teknolojileri değil, bir grafik tasarım ödevi olduğunu göstermektedir. Canlı STAC/COPC API mimarisi kurulana kadar teknik derinlik sıfırdır. DOM performans sorunları ölümcüldür.</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Etki Potansiyeli (%20):</w:t>
      </w:r>
      <w:r w:rsidDel="00000000" w:rsidR="00000000" w:rsidRPr="00000000">
        <w:rPr>
          <w:rFonts w:ascii="Google Sans" w:cs="Google Sans" w:eastAsia="Google Sans" w:hAnsi="Google Sans"/>
          <w:color w:val="1f1f1f"/>
          <w:rtl w:val="0"/>
        </w:rPr>
        <w:t xml:space="preserve"> 5/20. Gerçek veri işlenmediği için, oluşturulan rotaların bilimsel veya ticari bir geçerliliği yoktur. Gölge riskleri hesaplanmamaktadır.</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Sunum ve Arayüz Kalitesi (%12.5):</w:t>
      </w:r>
      <w:r w:rsidDel="00000000" w:rsidR="00000000" w:rsidRPr="00000000">
        <w:rPr>
          <w:rFonts w:ascii="Google Sans" w:cs="Google Sans" w:eastAsia="Google Sans" w:hAnsi="Google Sans"/>
          <w:color w:val="1f1f1f"/>
          <w:rtl w:val="0"/>
        </w:rPr>
        <w:t xml:space="preserve"> 3/12.5. Operasyonel tasarım (Mission Control) prensipleri ihlal edilmiş, beyaz boşluk ve rastgele kırmızı renk kullanımıyla "Data Vomit" yaratılmıştır. Ayarlar menüsü çalışmamaktadır (disconnected state).</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Takım Çalışması (%12.5):</w:t>
      </w:r>
      <w:r w:rsidDel="00000000" w:rsidR="00000000" w:rsidRPr="00000000">
        <w:rPr>
          <w:rFonts w:ascii="Google Sans" w:cs="Google Sans" w:eastAsia="Google Sans" w:hAnsi="Google Sans"/>
          <w:color w:val="1f1f1f"/>
          <w:rtl w:val="0"/>
        </w:rPr>
        <w:t xml:space="preserve"> 8/12.5.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Nihai Karar (Verdict): 26 / 100 Puan.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mimari ile proje doğrudan elenmeye (diskalifiye) mahkumdur.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Kodlama Ajanına Son Uyarı:</w:t>
      </w:r>
      <w:r w:rsidDel="00000000" w:rsidR="00000000" w:rsidRPr="00000000">
        <w:rPr>
          <w:rFonts w:ascii="Google Sans" w:cs="Google Sans" w:eastAsia="Google Sans" w:hAnsi="Google Sans"/>
          <w:color w:val="1f1f1f"/>
          <w:rtl w:val="0"/>
        </w:rPr>
        <w:t xml:space="preserve"> Raporun 7. Bölümünde yer alan görev listesindeki her bir src modülü, belirtilen 2026 standartlarına uygun olarak piksel ve bayt seviyesinde yeniden yazılmalıdır. Maksimum efor (max çaba), master-senior seviyesinde kodlama ve sıfır hata toleransıyla sistem derhal üretime hazır hale getirilmelidir. Onarım sürecini derhal başlatın.</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TUA Astro Hackathon Brings Turkey's Space Vision to Young People-Don't Miss the Application Deadline | Software Engineering - KTÜ, erişim tarihi Mart 25, 2026, </w:t>
      </w:r>
      <w:hyperlink r:id="rId13">
        <w:r w:rsidDel="00000000" w:rsidR="00000000" w:rsidRPr="00000000">
          <w:rPr>
            <w:rFonts w:ascii="Google Sans" w:cs="Google Sans" w:eastAsia="Google Sans" w:hAnsi="Google Sans"/>
            <w:color w:val="0000ee"/>
            <w:sz w:val="24"/>
            <w:szCs w:val="24"/>
            <w:u w:val="single"/>
            <w:rtl w:val="0"/>
          </w:rPr>
          <w:t xml:space="preserve">https://www.ktu.edu.tr/software/event/tua-astro-hackathon-brings-turkeys-space-vision-to-young-people-dont-miss-the-application-deadline</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TUA Astro Hackathon Proje Seçimi ve Analizi,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https://drive.google.com/open?id=1Lq2BcduEUv_oblmkGZ45ujUjK3F4vCCa-z-JvQ-Ix0U</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open-data-registry/datasets/nasa-usgs-lunar-orbiter-laser-altimeter.yaml at main - GitHub, erişim tarihi Mart 25, 2026, </w:t>
      </w:r>
      <w:hyperlink r:id="rId15">
        <w:r w:rsidDel="00000000" w:rsidR="00000000" w:rsidRPr="00000000">
          <w:rPr>
            <w:rFonts w:ascii="Google Sans" w:cs="Google Sans" w:eastAsia="Google Sans" w:hAnsi="Google Sans"/>
            <w:color w:val="0000ee"/>
            <w:sz w:val="24"/>
            <w:szCs w:val="24"/>
            <w:u w:val="single"/>
            <w:rtl w:val="0"/>
          </w:rPr>
          <w:t xml:space="preserve">https://github.com/awslabs/open-data-registry/blob/main/datasets/nasa-usgs-lunar-orbiter-laser-altimeter.yaml</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LRO LOLA - PDS Geosciences Node Data and Services, erişim tarihi Mart 25, 2026, </w:t>
      </w:r>
      <w:hyperlink r:id="rId16">
        <w:r w:rsidDel="00000000" w:rsidR="00000000" w:rsidRPr="00000000">
          <w:rPr>
            <w:rFonts w:ascii="Google Sans" w:cs="Google Sans" w:eastAsia="Google Sans" w:hAnsi="Google Sans"/>
            <w:color w:val="0000ee"/>
            <w:sz w:val="24"/>
            <w:szCs w:val="24"/>
            <w:u w:val="single"/>
            <w:rtl w:val="0"/>
          </w:rPr>
          <w:t xml:space="preserve">https://pds-geosciences.wustl.edu/missions/lro/lola.htm</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Agentic AI Architecture Guide 2026 - Kellton, erişim tarihi Mart 25, 2026, </w:t>
      </w:r>
      <w:hyperlink r:id="rId17">
        <w:r w:rsidDel="00000000" w:rsidR="00000000" w:rsidRPr="00000000">
          <w:rPr>
            <w:rFonts w:ascii="Google Sans" w:cs="Google Sans" w:eastAsia="Google Sans" w:hAnsi="Google Sans"/>
            <w:color w:val="0000ee"/>
            <w:sz w:val="24"/>
            <w:szCs w:val="24"/>
            <w:u w:val="single"/>
            <w:rtl w:val="0"/>
          </w:rPr>
          <w:t xml:space="preserve">https://www.kellton.com/kellton-tech-blog/enterprise-agentic-ai-architecture</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Startup with AI in 2026: The Strategic Blueprint for Scalable Growth - Presta, erişim tarihi Mart 25, 2026, </w:t>
      </w:r>
      <w:hyperlink r:id="rId18">
        <w:r w:rsidDel="00000000" w:rsidR="00000000" w:rsidRPr="00000000">
          <w:rPr>
            <w:rFonts w:ascii="Google Sans" w:cs="Google Sans" w:eastAsia="Google Sans" w:hAnsi="Google Sans"/>
            <w:color w:val="0000ee"/>
            <w:sz w:val="24"/>
            <w:szCs w:val="24"/>
            <w:u w:val="single"/>
            <w:rtl w:val="0"/>
          </w:rPr>
          <w:t xml:space="preserve">https://wearepresta.com/build-a-startup-with-ai-in-2026-the-strategic-blueprint-for-scalable-growth/</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Idea to MVP: The Strategic 2026 Guide for Startup Founders - Presta, erişim tarihi Mart 25, 2026, </w:t>
      </w:r>
      <w:hyperlink r:id="rId19">
        <w:r w:rsidDel="00000000" w:rsidR="00000000" w:rsidRPr="00000000">
          <w:rPr>
            <w:rFonts w:ascii="Google Sans" w:cs="Google Sans" w:eastAsia="Google Sans" w:hAnsi="Google Sans"/>
            <w:color w:val="0000ee"/>
            <w:sz w:val="24"/>
            <w:szCs w:val="24"/>
            <w:u w:val="single"/>
            <w:rtl w:val="0"/>
          </w:rPr>
          <w:t xml:space="preserve">https://wearepresta.com/from-idea-to-mvp-the-strategic-2026-guide-for-startup-founders/</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MVP in 2026: From Idea to Launch in 6 Weeks - Groovy Web, erişim tarihi Mart 25, 2026, </w:t>
      </w:r>
      <w:hyperlink r:id="rId20">
        <w:r w:rsidDel="00000000" w:rsidR="00000000" w:rsidRPr="00000000">
          <w:rPr>
            <w:rFonts w:ascii="Google Sans" w:cs="Google Sans" w:eastAsia="Google Sans" w:hAnsi="Google Sans"/>
            <w:color w:val="0000ee"/>
            <w:sz w:val="24"/>
            <w:szCs w:val="24"/>
            <w:u w:val="single"/>
            <w:rtl w:val="0"/>
          </w:rPr>
          <w:t xml:space="preserve">https://www.groovyweb.co/blog/how-to-build-an-mvp-2026-idea-to-launch</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 USGS Lunar Orbiter Laser Altimeter Cloud Optimized Point Cloud - AWS Marketplace, erişim tarihi Mart 25, 2026, </w:t>
      </w:r>
      <w:hyperlink r:id="rId21">
        <w:r w:rsidDel="00000000" w:rsidR="00000000" w:rsidRPr="00000000">
          <w:rPr>
            <w:rFonts w:ascii="Google Sans" w:cs="Google Sans" w:eastAsia="Google Sans" w:hAnsi="Google Sans"/>
            <w:color w:val="0000ee"/>
            <w:sz w:val="24"/>
            <w:szCs w:val="24"/>
            <w:u w:val="single"/>
            <w:rtl w:val="0"/>
          </w:rPr>
          <w:t xml:space="preserve">https://aws.amazon.com/marketplace/pp/prodview-l4w64nu3plu6w</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LRO/LOLA, erişim tarihi Mart 25, 2026, </w:t>
      </w:r>
      <w:hyperlink r:id="rId22">
        <w:r w:rsidDel="00000000" w:rsidR="00000000" w:rsidRPr="00000000">
          <w:rPr>
            <w:rFonts w:ascii="Google Sans" w:cs="Google Sans" w:eastAsia="Google Sans" w:hAnsi="Google Sans"/>
            <w:color w:val="0000ee"/>
            <w:sz w:val="24"/>
            <w:szCs w:val="24"/>
            <w:u w:val="single"/>
            <w:rtl w:val="0"/>
          </w:rPr>
          <w:t xml:space="preserve">https://ntrs.nasa.gov/api/citations/20210010668/downloads/Barker_TRNworkshopLOLADEMsMarch2021v1EM.pdf</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UI/UX Design Trends That Will Dominate 2026 - Egens Lab, erişim tarihi Mart 25, 2026, </w:t>
      </w:r>
      <w:hyperlink r:id="rId23">
        <w:r w:rsidDel="00000000" w:rsidR="00000000" w:rsidRPr="00000000">
          <w:rPr>
            <w:rFonts w:ascii="Google Sans" w:cs="Google Sans" w:eastAsia="Google Sans" w:hAnsi="Google Sans"/>
            <w:color w:val="0000ee"/>
            <w:sz w:val="24"/>
            <w:szCs w:val="24"/>
            <w:u w:val="single"/>
            <w:rtl w:val="0"/>
          </w:rPr>
          <w:t xml:space="preserve">https://www.egenslab.com/blog/10-ui-ux-design-trends</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 Design In 2026: Best Trends, Tools, And UX Standards - Zumeirah, erişim tarihi Mart 25, 2026, </w:t>
      </w:r>
      <w:hyperlink r:id="rId24">
        <w:r w:rsidDel="00000000" w:rsidR="00000000" w:rsidRPr="00000000">
          <w:rPr>
            <w:rFonts w:ascii="Google Sans" w:cs="Google Sans" w:eastAsia="Google Sans" w:hAnsi="Google Sans"/>
            <w:color w:val="0000ee"/>
            <w:sz w:val="24"/>
            <w:szCs w:val="24"/>
            <w:u w:val="single"/>
            <w:rtl w:val="0"/>
          </w:rPr>
          <w:t xml:space="preserve">https://zumeirah.com/ui-design-in-2026-trends-tools-ux-standards/</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LOLA MOON_PA gridded dataset - PGDA - NASA, erişim tarihi Mart 25, 2026, </w:t>
      </w:r>
      <w:hyperlink r:id="rId25">
        <w:r w:rsidDel="00000000" w:rsidR="00000000" w:rsidRPr="00000000">
          <w:rPr>
            <w:rFonts w:ascii="Google Sans" w:cs="Google Sans" w:eastAsia="Google Sans" w:hAnsi="Google Sans"/>
            <w:color w:val="0000ee"/>
            <w:sz w:val="24"/>
            <w:szCs w:val="24"/>
            <w:u w:val="single"/>
            <w:rtl w:val="0"/>
          </w:rPr>
          <w:t xml:space="preserve">https://pgda.gsfc.nasa.gov/products/95</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3D Products for Lunar Exploration and Science, erişim tarihi Mart 25, 2026, </w:t>
      </w:r>
      <w:hyperlink r:id="rId26">
        <w:r w:rsidDel="00000000" w:rsidR="00000000" w:rsidRPr="00000000">
          <w:rPr>
            <w:rFonts w:ascii="Google Sans" w:cs="Google Sans" w:eastAsia="Google Sans" w:hAnsi="Google Sans"/>
            <w:color w:val="0000ee"/>
            <w:sz w:val="24"/>
            <w:szCs w:val="24"/>
            <w:u w:val="single"/>
            <w:rtl w:val="0"/>
          </w:rPr>
          <w:t xml:space="preserve">https://lroc.im-ldi.com/images/1470</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UX Design Guide 2026 | Best Practices &amp; Examples - Fuselab Creative, erişim tarihi Mart 25, 2026, </w:t>
      </w:r>
      <w:hyperlink r:id="rId27">
        <w:r w:rsidDel="00000000" w:rsidR="00000000" w:rsidRPr="00000000">
          <w:rPr>
            <w:rFonts w:ascii="Google Sans" w:cs="Google Sans" w:eastAsia="Google Sans" w:hAnsi="Google Sans"/>
            <w:color w:val="0000ee"/>
            <w:sz w:val="24"/>
            <w:szCs w:val="24"/>
            <w:u w:val="single"/>
            <w:rtl w:val="0"/>
          </w:rPr>
          <w:t xml:space="preserve">https://fuselabcreative.com/enterprise-ux-design-guide-2026-best-practices/</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 trends 2026: top 10 trends your users will love - UX studio, erişim tarihi Mart 25, 2026, </w:t>
      </w:r>
      <w:hyperlink r:id="rId28">
        <w:r w:rsidDel="00000000" w:rsidR="00000000" w:rsidRPr="00000000">
          <w:rPr>
            <w:rFonts w:ascii="Google Sans" w:cs="Google Sans" w:eastAsia="Google Sans" w:hAnsi="Google Sans"/>
            <w:color w:val="0000ee"/>
            <w:sz w:val="24"/>
            <w:szCs w:val="24"/>
            <w:u w:val="single"/>
            <w:rtl w:val="0"/>
          </w:rPr>
          <w:t xml:space="preserve">https://www.uxstudioteam.com/ux-blog/ui-trends-2019</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popular experience design trends of 2026 | by Joe Smiley - UX Collective, erişim tarihi Mart 25, 2026, </w:t>
      </w:r>
      <w:hyperlink r:id="rId29">
        <w:r w:rsidDel="00000000" w:rsidR="00000000" w:rsidRPr="00000000">
          <w:rPr>
            <w:rFonts w:ascii="Google Sans" w:cs="Google Sans" w:eastAsia="Google Sans" w:hAnsi="Google Sans"/>
            <w:color w:val="0000ee"/>
            <w:sz w:val="24"/>
            <w:szCs w:val="24"/>
            <w:u w:val="single"/>
            <w:rtl w:val="0"/>
          </w:rPr>
          <w:t xml:space="preserve">https://uxdesign.cc/the-most-popular-experience-design-trends-of-2026-3ca85c8a3e3d</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SaaS Dashboard Design Guide (2026) | F1Studioz, erişim tarihi Mart 25, 2026, </w:t>
      </w:r>
      <w:hyperlink r:id="rId30">
        <w:r w:rsidDel="00000000" w:rsidR="00000000" w:rsidRPr="00000000">
          <w:rPr>
            <w:rFonts w:ascii="Google Sans" w:cs="Google Sans" w:eastAsia="Google Sans" w:hAnsi="Google Sans"/>
            <w:color w:val="0000ee"/>
            <w:sz w:val="24"/>
            <w:szCs w:val="24"/>
            <w:u w:val="single"/>
            <w:rtl w:val="0"/>
          </w:rPr>
          <w:t xml:space="preserve">https://f1studioz.com/blog/smart-saas-dashboard-design/</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Dashboard Design Agencies in 2026 (UX Teams That Understand Data) - Cieden, erişim tarihi Mart 25, 2026, </w:t>
      </w:r>
      <w:hyperlink r:id="rId31">
        <w:r w:rsidDel="00000000" w:rsidR="00000000" w:rsidRPr="00000000">
          <w:rPr>
            <w:rFonts w:ascii="Google Sans" w:cs="Google Sans" w:eastAsia="Google Sans" w:hAnsi="Google Sans"/>
            <w:color w:val="0000ee"/>
            <w:sz w:val="24"/>
            <w:szCs w:val="24"/>
            <w:u w:val="single"/>
            <w:rtl w:val="0"/>
          </w:rPr>
          <w:t xml:space="preserve">https://cieden.com/best-dashboard-design-agencies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UI/UX Trends That Will Shape 2026 - Orizon Design, erişim tarihi Mart 25, 2026, </w:t>
      </w:r>
      <w:hyperlink r:id="rId32">
        <w:r w:rsidDel="00000000" w:rsidR="00000000" w:rsidRPr="00000000">
          <w:rPr>
            <w:rFonts w:ascii="Google Sans" w:cs="Google Sans" w:eastAsia="Google Sans" w:hAnsi="Google Sans"/>
            <w:color w:val="0000ee"/>
            <w:sz w:val="24"/>
            <w:szCs w:val="24"/>
            <w:u w:val="single"/>
            <w:rtl w:val="0"/>
          </w:rPr>
          <w:t xml:space="preserve">https://www.orizon.co/blog/10-ui-ux-trends-that-will-shape-2026</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Workflows in 2026: The ultimate guide - Vellum AI, erişim tarihi Mart 25, 2026, </w:t>
      </w:r>
      <w:hyperlink r:id="rId33">
        <w:r w:rsidDel="00000000" w:rsidR="00000000" w:rsidRPr="00000000">
          <w:rPr>
            <w:rFonts w:ascii="Google Sans" w:cs="Google Sans" w:eastAsia="Google Sans" w:hAnsi="Google Sans"/>
            <w:color w:val="0000ee"/>
            <w:sz w:val="24"/>
            <w:szCs w:val="24"/>
            <w:u w:val="single"/>
            <w:rtl w:val="0"/>
          </w:rPr>
          <w:t xml:space="preserve">https://vellum.ai/blog/agentic-workflows-emerging-architectures-and-design-patterns</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with Google Antigravity, our new agentic development platform, erişim tarihi Mart 25, 2026, </w:t>
      </w:r>
      <w:hyperlink r:id="rId34">
        <w:r w:rsidDel="00000000" w:rsidR="00000000" w:rsidRPr="00000000">
          <w:rPr>
            <w:rFonts w:ascii="Google Sans" w:cs="Google Sans" w:eastAsia="Google Sans" w:hAnsi="Google Sans"/>
            <w:color w:val="0000ee"/>
            <w:sz w:val="24"/>
            <w:szCs w:val="24"/>
            <w:u w:val="single"/>
            <w:rtl w:val="0"/>
          </w:rPr>
          <w:t xml:space="preserve">https://developers.googleblog.com/build-with-google-antigravity-our-new-agentic-development-platform/</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Shocking Predictions of Agentic AI in 2026 - NexGen Architects, erişim tarihi Mart 25, 2026, </w:t>
      </w:r>
      <w:hyperlink r:id="rId35">
        <w:r w:rsidDel="00000000" w:rsidR="00000000" w:rsidRPr="00000000">
          <w:rPr>
            <w:rFonts w:ascii="Google Sans" w:cs="Google Sans" w:eastAsia="Google Sans" w:hAnsi="Google Sans"/>
            <w:color w:val="0000ee"/>
            <w:sz w:val="24"/>
            <w:szCs w:val="24"/>
            <w:u w:val="single"/>
            <w:rtl w:val="0"/>
          </w:rPr>
          <w:t xml:space="preserve">https://www.nexgenarchitects.com/blog-posts/agentic-ai-predictions-2026</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report reveals need for reliable autonomous operations - Dynatrace, erişim tarihi Mart 25, 2026, </w:t>
      </w:r>
      <w:hyperlink r:id="rId36">
        <w:r w:rsidDel="00000000" w:rsidR="00000000" w:rsidRPr="00000000">
          <w:rPr>
            <w:rFonts w:ascii="Google Sans" w:cs="Google Sans" w:eastAsia="Google Sans" w:hAnsi="Google Sans"/>
            <w:color w:val="0000ee"/>
            <w:sz w:val="24"/>
            <w:szCs w:val="24"/>
            <w:u w:val="single"/>
            <w:rtl w:val="0"/>
          </w:rPr>
          <w:t xml:space="preserve">https://www.dynatrace.com/news/blog/agentic-ai-report-reliable-autonomous-operations/</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For Agentic AI: Practical UX Patterns For Control, Consent, And Accountability, erişim tarihi Mart 25, 2026, </w:t>
      </w:r>
      <w:hyperlink r:id="rId37">
        <w:r w:rsidDel="00000000" w:rsidR="00000000" w:rsidRPr="00000000">
          <w:rPr>
            <w:rFonts w:ascii="Google Sans" w:cs="Google Sans" w:eastAsia="Google Sans" w:hAnsi="Google Sans"/>
            <w:color w:val="0000ee"/>
            <w:sz w:val="24"/>
            <w:szCs w:val="24"/>
            <w:u w:val="single"/>
            <w:rtl w:val="0"/>
          </w:rPr>
          <w:t xml:space="preserve">https://www.smashingmagazine.com/2026/02/designing-agentic-ai-practical-ux-patterns/</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Ralph TUI: Mission Control Dashboard for AI Agents (2026) - Verdent Guides, erişim tarihi Mart 25, 2026, </w:t>
      </w:r>
      <w:hyperlink r:id="rId38">
        <w:r w:rsidDel="00000000" w:rsidR="00000000" w:rsidRPr="00000000">
          <w:rPr>
            <w:rFonts w:ascii="Google Sans" w:cs="Google Sans" w:eastAsia="Google Sans" w:hAnsi="Google Sans"/>
            <w:color w:val="0000ee"/>
            <w:sz w:val="24"/>
            <w:szCs w:val="24"/>
            <w:u w:val="single"/>
            <w:rtl w:val="0"/>
          </w:rPr>
          <w:t xml:space="preserve">https://www.verdent.ai/guides/ralph-tui-ai-agent-dashboard</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Agentic AI Design Patterns CTOs Must Evaluate in 2026 | Codebridge, erişim tarihi Mart 25, 2026, </w:t>
      </w:r>
      <w:hyperlink r:id="rId39">
        <w:r w:rsidDel="00000000" w:rsidR="00000000" w:rsidRPr="00000000">
          <w:rPr>
            <w:rFonts w:ascii="Google Sans" w:cs="Google Sans" w:eastAsia="Google Sans" w:hAnsi="Google Sans"/>
            <w:color w:val="0000ee"/>
            <w:sz w:val="24"/>
            <w:szCs w:val="24"/>
            <w:u w:val="single"/>
            <w:rtl w:val="0"/>
          </w:rPr>
          <w:t xml:space="preserve">https://www.codebridge.tech/articles/the-5-agentic-ai-design-patterns-ctos-should-evaluate-before-choosing-an-architecture</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agentic AI end-to-end | Microsoft Security Blog, erişim tarihi Mart 25, 2026, </w:t>
      </w:r>
      <w:hyperlink r:id="rId40">
        <w:r w:rsidDel="00000000" w:rsidR="00000000" w:rsidRPr="00000000">
          <w:rPr>
            <w:rFonts w:ascii="Google Sans" w:cs="Google Sans" w:eastAsia="Google Sans" w:hAnsi="Google Sans"/>
            <w:color w:val="0000ee"/>
            <w:sz w:val="24"/>
            <w:szCs w:val="24"/>
            <w:u w:val="single"/>
            <w:rtl w:val="0"/>
          </w:rPr>
          <w:t xml:space="preserve">https://www.microsoft.com/en-us/security/blog/2026/03/20/secure-agentic-ai-end-to-end/</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UI/UX Design Trends That Will Define 2026 | by Bammiecreations - Medium, erişim tarihi Mart 25, 2026, </w:t>
      </w:r>
      <w:hyperlink r:id="rId41">
        <w:r w:rsidDel="00000000" w:rsidR="00000000" w:rsidRPr="00000000">
          <w:rPr>
            <w:rFonts w:ascii="Google Sans" w:cs="Google Sans" w:eastAsia="Google Sans" w:hAnsi="Google Sans"/>
            <w:color w:val="0000ee"/>
            <w:sz w:val="24"/>
            <w:szCs w:val="24"/>
            <w:u w:val="single"/>
            <w:rtl w:val="0"/>
          </w:rPr>
          <w:t xml:space="preserve">https://medium.com/@bammiecreations/5-ui-ux-design-trends-that-will-define-2026-b5956afa32a0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icrosoft.com/en-us/security/blog/2026/03/20/secure-agentic-ai-end-to-end/" TargetMode="External"/><Relationship Id="rId20" Type="http://schemas.openxmlformats.org/officeDocument/2006/relationships/hyperlink" Target="https://www.groovyweb.co/blog/how-to-build-an-mvp-2026-idea-to-launch" TargetMode="External"/><Relationship Id="rId41" Type="http://schemas.openxmlformats.org/officeDocument/2006/relationships/hyperlink" Target="https://medium.com/@bammiecreations/5-ui-ux-design-trends-that-will-define-2026-b5956afa32a0" TargetMode="External"/><Relationship Id="rId22" Type="http://schemas.openxmlformats.org/officeDocument/2006/relationships/hyperlink" Target="https://ntrs.nasa.gov/api/citations/20210010668/downloads/Barker_TRNworkshopLOLADEMsMarch2021v1EM.pdf" TargetMode="External"/><Relationship Id="rId21" Type="http://schemas.openxmlformats.org/officeDocument/2006/relationships/hyperlink" Target="https://aws.amazon.com/marketplace/pp/prodview-l4w64nu3plu6w" TargetMode="External"/><Relationship Id="rId24" Type="http://schemas.openxmlformats.org/officeDocument/2006/relationships/hyperlink" Target="https://zumeirah.com/ui-design-in-2026-trends-tools-ux-standards/" TargetMode="External"/><Relationship Id="rId23" Type="http://schemas.openxmlformats.org/officeDocument/2006/relationships/hyperlink" Target="https://www.egenslab.com/blog/10-ui-ux-design-tren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lroc.im-ldi.com/images/1470" TargetMode="External"/><Relationship Id="rId25" Type="http://schemas.openxmlformats.org/officeDocument/2006/relationships/hyperlink" Target="https://pgda.gsfc.nasa.gov/products/95" TargetMode="External"/><Relationship Id="rId28" Type="http://schemas.openxmlformats.org/officeDocument/2006/relationships/hyperlink" Target="https://www.uxstudioteam.com/ux-blog/ui-trends-2019" TargetMode="External"/><Relationship Id="rId27" Type="http://schemas.openxmlformats.org/officeDocument/2006/relationships/hyperlink" Target="https://fuselabcreative.com/enterprise-ux-design-guide-2026-best-practices/"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uxdesign.cc/the-most-popular-experience-design-trends-of-2026-3ca85c8a3e3d" TargetMode="External"/><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cieden.com/best-dashboard-design-agencies" TargetMode="External"/><Relationship Id="rId30" Type="http://schemas.openxmlformats.org/officeDocument/2006/relationships/hyperlink" Target="https://f1studioz.com/blog/smart-saas-dashboard-design/" TargetMode="External"/><Relationship Id="rId11" Type="http://schemas.openxmlformats.org/officeDocument/2006/relationships/image" Target="media/image1.png"/><Relationship Id="rId33" Type="http://schemas.openxmlformats.org/officeDocument/2006/relationships/hyperlink" Target="https://vellum.ai/blog/agentic-workflows-emerging-architectures-and-design-patterns" TargetMode="External"/><Relationship Id="rId10" Type="http://schemas.openxmlformats.org/officeDocument/2006/relationships/image" Target="media/image5.png"/><Relationship Id="rId32" Type="http://schemas.openxmlformats.org/officeDocument/2006/relationships/hyperlink" Target="https://www.orizon.co/blog/10-ui-ux-trends-that-will-shape-2026" TargetMode="External"/><Relationship Id="rId13" Type="http://schemas.openxmlformats.org/officeDocument/2006/relationships/hyperlink" Target="https://www.ktu.edu.tr/software/event/tua-astro-hackathon-brings-turkeys-space-vision-to-young-people-dont-miss-the-application-deadline" TargetMode="External"/><Relationship Id="rId35" Type="http://schemas.openxmlformats.org/officeDocument/2006/relationships/hyperlink" Target="https://www.nexgenarchitects.com/blog-posts/agentic-ai-predictions-2026" TargetMode="External"/><Relationship Id="rId12" Type="http://schemas.openxmlformats.org/officeDocument/2006/relationships/image" Target="media/image2.png"/><Relationship Id="rId34" Type="http://schemas.openxmlformats.org/officeDocument/2006/relationships/hyperlink" Target="https://developers.googleblog.com/build-with-google-antigravity-our-new-agentic-development-platform/" TargetMode="External"/><Relationship Id="rId15" Type="http://schemas.openxmlformats.org/officeDocument/2006/relationships/hyperlink" Target="https://github.com/awslabs/open-data-registry/blob/main/datasets/nasa-usgs-lunar-orbiter-laser-altimeter.yaml" TargetMode="External"/><Relationship Id="rId37" Type="http://schemas.openxmlformats.org/officeDocument/2006/relationships/hyperlink" Target="https://www.smashingmagazine.com/2026/02/designing-agentic-ai-practical-ux-patterns/" TargetMode="External"/><Relationship Id="rId14" Type="http://schemas.openxmlformats.org/officeDocument/2006/relationships/hyperlink" Target="https://drive.google.com/open?id=1Lq2BcduEUv_oblmkGZ45ujUjK3F4vCCa-z-JvQ-Ix0U" TargetMode="External"/><Relationship Id="rId36" Type="http://schemas.openxmlformats.org/officeDocument/2006/relationships/hyperlink" Target="https://www.dynatrace.com/news/blog/agentic-ai-report-reliable-autonomous-operations/" TargetMode="External"/><Relationship Id="rId17" Type="http://schemas.openxmlformats.org/officeDocument/2006/relationships/hyperlink" Target="https://www.kellton.com/kellton-tech-blog/enterprise-agentic-ai-architecture" TargetMode="External"/><Relationship Id="rId39" Type="http://schemas.openxmlformats.org/officeDocument/2006/relationships/hyperlink" Target="https://www.codebridge.tech/articles/the-5-agentic-ai-design-patterns-ctos-should-evaluate-before-choosing-an-architecture" TargetMode="External"/><Relationship Id="rId16" Type="http://schemas.openxmlformats.org/officeDocument/2006/relationships/hyperlink" Target="https://pds-geosciences.wustl.edu/missions/lro/lola.htm" TargetMode="External"/><Relationship Id="rId38" Type="http://schemas.openxmlformats.org/officeDocument/2006/relationships/hyperlink" Target="https://www.verdent.ai/guides/ralph-tui-ai-agent-dashboard" TargetMode="External"/><Relationship Id="rId19" Type="http://schemas.openxmlformats.org/officeDocument/2006/relationships/hyperlink" Target="https://wearepresta.com/from-idea-to-mvp-the-strategic-2026-guide-for-startup-founders/" TargetMode="External"/><Relationship Id="rId18" Type="http://schemas.openxmlformats.org/officeDocument/2006/relationships/hyperlink" Target="https://wearepresta.com/build-a-startup-with-ai-in-2026-the-strategic-blueprint-for-scalable-grow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