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A1054" w14:textId="249C5217" w:rsidR="00F53E24" w:rsidRDefault="0037186F" w:rsidP="0037186F">
      <w:pPr>
        <w:pStyle w:val="Heading1"/>
      </w:pPr>
      <w:r>
        <w:t>Implied Volatility:</w:t>
      </w:r>
    </w:p>
    <w:p w14:paraId="41E36FBE" w14:textId="77777777" w:rsidR="0037186F" w:rsidRDefault="0037186F"/>
    <w:sectPr w:rsidR="0037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B"/>
    <w:rsid w:val="0037186F"/>
    <w:rsid w:val="006D3B57"/>
    <w:rsid w:val="007A40B9"/>
    <w:rsid w:val="0096018E"/>
    <w:rsid w:val="00FF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2496"/>
  <w15:chartTrackingRefBased/>
  <w15:docId w15:val="{0EB43739-A510-4AD8-9DAC-86831C29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Shahjalal</dc:creator>
  <cp:keywords/>
  <dc:description/>
  <cp:lastModifiedBy>Nur Shahjalal</cp:lastModifiedBy>
  <cp:revision>2</cp:revision>
  <dcterms:created xsi:type="dcterms:W3CDTF">2021-02-14T03:21:00Z</dcterms:created>
  <dcterms:modified xsi:type="dcterms:W3CDTF">2021-03-01T19:05:00Z</dcterms:modified>
</cp:coreProperties>
</file>