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2B1D6" w14:textId="0940D5B4" w:rsidR="003A567C" w:rsidRPr="004543DA" w:rsidRDefault="00321768">
      <w:pPr>
        <w:rPr>
          <w:rFonts w:ascii="Times New Roman" w:hAnsi="Times New Roman" w:cs="Times New Roman"/>
          <w:b/>
          <w:bCs/>
          <w:color w:val="000000" w:themeColor="text1"/>
          <w:sz w:val="24"/>
          <w:szCs w:val="32"/>
        </w:rPr>
      </w:pPr>
      <w:r w:rsidRPr="004543DA">
        <w:rPr>
          <w:rFonts w:ascii="Times New Roman" w:hAnsi="Times New Roman" w:cs="Times New Roman"/>
          <w:b/>
          <w:bCs/>
          <w:color w:val="000000" w:themeColor="text1"/>
          <w:sz w:val="24"/>
          <w:szCs w:val="32"/>
        </w:rPr>
        <w:t>Aktivitas 2.</w:t>
      </w:r>
      <w:r w:rsidRPr="004543DA">
        <w:rPr>
          <w:rFonts w:ascii="Times New Roman" w:hAnsi="Times New Roman" w:cs="Times New Roman"/>
          <w:b/>
          <w:bCs/>
          <w:color w:val="000000" w:themeColor="text1"/>
          <w:sz w:val="24"/>
          <w:szCs w:val="32"/>
        </w:rPr>
        <w:t>1</w:t>
      </w:r>
      <w:r w:rsidRPr="004543DA">
        <w:rPr>
          <w:rFonts w:ascii="Times New Roman" w:hAnsi="Times New Roman" w:cs="Times New Roman"/>
          <w:b/>
          <w:bCs/>
          <w:color w:val="000000" w:themeColor="text1"/>
          <w:sz w:val="24"/>
          <w:szCs w:val="32"/>
        </w:rPr>
        <w:t xml:space="preserve">: </w:t>
      </w:r>
      <w:r w:rsidRPr="004543DA">
        <w:rPr>
          <w:rFonts w:ascii="Times New Roman" w:hAnsi="Times New Roman" w:cs="Times New Roman"/>
          <w:b/>
          <w:bCs/>
          <w:color w:val="000000" w:themeColor="text1"/>
          <w:sz w:val="24"/>
          <w:szCs w:val="32"/>
        </w:rPr>
        <w:t>Kasus 2.1</w:t>
      </w:r>
    </w:p>
    <w:p w14:paraId="0403D7CC" w14:textId="77777777" w:rsidR="00321768" w:rsidRPr="004543DA" w:rsidRDefault="00321768">
      <w:pPr>
        <w:rPr>
          <w:rFonts w:ascii="Times New Roman" w:hAnsi="Times New Roman" w:cs="Times New Roman"/>
          <w:b/>
          <w:bCs/>
          <w:color w:val="000000" w:themeColor="text1"/>
          <w:sz w:val="24"/>
          <w:szCs w:val="32"/>
        </w:rPr>
      </w:pPr>
    </w:p>
    <w:p w14:paraId="4FB46D2F" w14:textId="77777777" w:rsidR="00321768" w:rsidRPr="00321768" w:rsidRDefault="00321768" w:rsidP="00321768">
      <w:pPr>
        <w:spacing w:before="180" w:after="180" w:line="240" w:lineRule="auto"/>
        <w:jc w:val="center"/>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b/>
          <w:bCs/>
          <w:color w:val="000000" w:themeColor="text1"/>
          <w:sz w:val="24"/>
          <w:szCs w:val="24"/>
          <w:lang w:eastAsia="id-ID" w:bidi="ar-SA"/>
        </w:rPr>
        <w:t>Kesenjangan Prinsip, Pengalaman, dan Kerangka Pembelajaran Mendalam dalam Mata Pelajaran Teknik Elektronika di SMK Nusantara</w:t>
      </w:r>
    </w:p>
    <w:p w14:paraId="57CD84BB"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Di SMK Nusantara, seorang guru mata pelajaran produktif Teknik Elektronika terbiasa menggunakan metode ceramah untuk menyampaikan materi dasar rangkaian listrik dan sistem kontrol. Setiap pertemuan, guru menjelaskan konsep melalui paparan PowerPoint tanpa memberikan kesempatan bagi murid untuk mengeksplorasi, berdiskusi, atau mencoba merakit komponen secara langsung. Murid diminta mencatat dan menghafal rumus, sementara aktivitas praktik hanya dilakukan menjelang ujian akhir semester.</w:t>
      </w:r>
    </w:p>
    <w:p w14:paraId="0269DFEA"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Kondisi ini menimbulkan </w:t>
      </w:r>
      <w:r w:rsidRPr="00321768">
        <w:rPr>
          <w:rFonts w:ascii="Times New Roman" w:eastAsia="Times New Roman" w:hAnsi="Times New Roman" w:cs="Times New Roman"/>
          <w:b/>
          <w:bCs/>
          <w:color w:val="000000" w:themeColor="text1"/>
          <w:sz w:val="24"/>
          <w:szCs w:val="24"/>
          <w:lang w:eastAsia="id-ID" w:bidi="ar-SA"/>
        </w:rPr>
        <w:t>kesenjangan dalam penerapan prinsip pembelajaran mendalam</w:t>
      </w:r>
      <w:r w:rsidRPr="00321768">
        <w:rPr>
          <w:rFonts w:ascii="Times New Roman" w:eastAsia="Times New Roman" w:hAnsi="Times New Roman" w:cs="Times New Roman"/>
          <w:color w:val="000000" w:themeColor="text1"/>
          <w:sz w:val="24"/>
          <w:szCs w:val="24"/>
          <w:lang w:eastAsia="id-ID" w:bidi="ar-SA"/>
        </w:rPr>
        <w:t>. Pembelajaran belum </w:t>
      </w:r>
      <w:r w:rsidRPr="00321768">
        <w:rPr>
          <w:rFonts w:ascii="Times New Roman" w:eastAsia="Times New Roman" w:hAnsi="Times New Roman" w:cs="Times New Roman"/>
          <w:b/>
          <w:bCs/>
          <w:color w:val="000000" w:themeColor="text1"/>
          <w:sz w:val="24"/>
          <w:szCs w:val="24"/>
          <w:lang w:eastAsia="id-ID" w:bidi="ar-SA"/>
        </w:rPr>
        <w:t>bermakna</w:t>
      </w:r>
      <w:r w:rsidRPr="00321768">
        <w:rPr>
          <w:rFonts w:ascii="Times New Roman" w:eastAsia="Times New Roman" w:hAnsi="Times New Roman" w:cs="Times New Roman"/>
          <w:color w:val="000000" w:themeColor="text1"/>
          <w:sz w:val="24"/>
          <w:szCs w:val="24"/>
          <w:lang w:eastAsia="id-ID" w:bidi="ar-SA"/>
        </w:rPr>
        <w:t>, karena murid tidak memahami relevansi konsep dengan dunia kerja; belum </w:t>
      </w:r>
      <w:r w:rsidRPr="00321768">
        <w:rPr>
          <w:rFonts w:ascii="Times New Roman" w:eastAsia="Times New Roman" w:hAnsi="Times New Roman" w:cs="Times New Roman"/>
          <w:b/>
          <w:bCs/>
          <w:color w:val="000000" w:themeColor="text1"/>
          <w:sz w:val="24"/>
          <w:szCs w:val="24"/>
          <w:lang w:eastAsia="id-ID" w:bidi="ar-SA"/>
        </w:rPr>
        <w:t>berkesadaran</w:t>
      </w:r>
      <w:r w:rsidRPr="00321768">
        <w:rPr>
          <w:rFonts w:ascii="Times New Roman" w:eastAsia="Times New Roman" w:hAnsi="Times New Roman" w:cs="Times New Roman"/>
          <w:color w:val="000000" w:themeColor="text1"/>
          <w:sz w:val="24"/>
          <w:szCs w:val="24"/>
          <w:lang w:eastAsia="id-ID" w:bidi="ar-SA"/>
        </w:rPr>
        <w:t>, karena aktivitas belajar hanya berpusat pada instruksi guru tanpa refleksi diri; dan tidak </w:t>
      </w:r>
      <w:r w:rsidRPr="00321768">
        <w:rPr>
          <w:rFonts w:ascii="Times New Roman" w:eastAsia="Times New Roman" w:hAnsi="Times New Roman" w:cs="Times New Roman"/>
          <w:b/>
          <w:bCs/>
          <w:color w:val="000000" w:themeColor="text1"/>
          <w:sz w:val="24"/>
          <w:szCs w:val="24"/>
          <w:lang w:eastAsia="id-ID" w:bidi="ar-SA"/>
        </w:rPr>
        <w:t>menggembirakan</w:t>
      </w:r>
      <w:r w:rsidRPr="00321768">
        <w:rPr>
          <w:rFonts w:ascii="Times New Roman" w:eastAsia="Times New Roman" w:hAnsi="Times New Roman" w:cs="Times New Roman"/>
          <w:color w:val="000000" w:themeColor="text1"/>
          <w:sz w:val="24"/>
          <w:szCs w:val="24"/>
          <w:lang w:eastAsia="id-ID" w:bidi="ar-SA"/>
        </w:rPr>
        <w:t>, karena proses belajar monoton dan minim partisipasi.</w:t>
      </w:r>
    </w:p>
    <w:p w14:paraId="32BFCFA7"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Dari sisi </w:t>
      </w:r>
      <w:r w:rsidRPr="00321768">
        <w:rPr>
          <w:rFonts w:ascii="Times New Roman" w:eastAsia="Times New Roman" w:hAnsi="Times New Roman" w:cs="Times New Roman"/>
          <w:b/>
          <w:bCs/>
          <w:color w:val="000000" w:themeColor="text1"/>
          <w:sz w:val="24"/>
          <w:szCs w:val="24"/>
          <w:lang w:eastAsia="id-ID" w:bidi="ar-SA"/>
        </w:rPr>
        <w:t>pengalaman pembelajaran mendalam</w:t>
      </w:r>
      <w:r w:rsidRPr="00321768">
        <w:rPr>
          <w:rFonts w:ascii="Times New Roman" w:eastAsia="Times New Roman" w:hAnsi="Times New Roman" w:cs="Times New Roman"/>
          <w:color w:val="000000" w:themeColor="text1"/>
          <w:sz w:val="24"/>
          <w:szCs w:val="24"/>
          <w:lang w:eastAsia="id-ID" w:bidi="ar-SA"/>
        </w:rPr>
        <w:t>, murid hanya sampai pada tahap </w:t>
      </w:r>
      <w:r w:rsidRPr="00321768">
        <w:rPr>
          <w:rFonts w:ascii="Times New Roman" w:eastAsia="Times New Roman" w:hAnsi="Times New Roman" w:cs="Times New Roman"/>
          <w:b/>
          <w:bCs/>
          <w:color w:val="000000" w:themeColor="text1"/>
          <w:sz w:val="24"/>
          <w:szCs w:val="24"/>
          <w:lang w:eastAsia="id-ID" w:bidi="ar-SA"/>
        </w:rPr>
        <w:t>memahami</w:t>
      </w:r>
      <w:r w:rsidRPr="00321768">
        <w:rPr>
          <w:rFonts w:ascii="Times New Roman" w:eastAsia="Times New Roman" w:hAnsi="Times New Roman" w:cs="Times New Roman"/>
          <w:color w:val="000000" w:themeColor="text1"/>
          <w:sz w:val="24"/>
          <w:szCs w:val="24"/>
          <w:lang w:eastAsia="id-ID" w:bidi="ar-SA"/>
        </w:rPr>
        <w:t> secara kognitif, tetapi belum berkesempatan </w:t>
      </w:r>
      <w:r w:rsidRPr="00321768">
        <w:rPr>
          <w:rFonts w:ascii="Times New Roman" w:eastAsia="Times New Roman" w:hAnsi="Times New Roman" w:cs="Times New Roman"/>
          <w:b/>
          <w:bCs/>
          <w:color w:val="000000" w:themeColor="text1"/>
          <w:sz w:val="24"/>
          <w:szCs w:val="24"/>
          <w:lang w:eastAsia="id-ID" w:bidi="ar-SA"/>
        </w:rPr>
        <w:t>mengaplikasikan</w:t>
      </w:r>
      <w:r w:rsidRPr="00321768">
        <w:rPr>
          <w:rFonts w:ascii="Times New Roman" w:eastAsia="Times New Roman" w:hAnsi="Times New Roman" w:cs="Times New Roman"/>
          <w:color w:val="000000" w:themeColor="text1"/>
          <w:sz w:val="24"/>
          <w:szCs w:val="24"/>
          <w:lang w:eastAsia="id-ID" w:bidi="ar-SA"/>
        </w:rPr>
        <w:t> dan </w:t>
      </w:r>
      <w:r w:rsidRPr="00321768">
        <w:rPr>
          <w:rFonts w:ascii="Times New Roman" w:eastAsia="Times New Roman" w:hAnsi="Times New Roman" w:cs="Times New Roman"/>
          <w:b/>
          <w:bCs/>
          <w:color w:val="000000" w:themeColor="text1"/>
          <w:sz w:val="24"/>
          <w:szCs w:val="24"/>
          <w:lang w:eastAsia="id-ID" w:bidi="ar-SA"/>
        </w:rPr>
        <w:t>merefleksikan</w:t>
      </w:r>
      <w:r w:rsidRPr="00321768">
        <w:rPr>
          <w:rFonts w:ascii="Times New Roman" w:eastAsia="Times New Roman" w:hAnsi="Times New Roman" w:cs="Times New Roman"/>
          <w:color w:val="000000" w:themeColor="text1"/>
          <w:sz w:val="24"/>
          <w:szCs w:val="24"/>
          <w:lang w:eastAsia="id-ID" w:bidi="ar-SA"/>
        </w:rPr>
        <w:t> hasil belajar. Akibatnya, mereka kesulitan mengaitkan teori yang dipelajari dengan konteks industri, seperti perakitan sistem kontrol otomatis atau pemrograman PLC (Programmable Logic Controller).</w:t>
      </w:r>
    </w:p>
    <w:p w14:paraId="038E03A1"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Selain itu, </w:t>
      </w:r>
      <w:r w:rsidRPr="00321768">
        <w:rPr>
          <w:rFonts w:ascii="Times New Roman" w:eastAsia="Times New Roman" w:hAnsi="Times New Roman" w:cs="Times New Roman"/>
          <w:b/>
          <w:bCs/>
          <w:color w:val="000000" w:themeColor="text1"/>
          <w:sz w:val="24"/>
          <w:szCs w:val="24"/>
          <w:lang w:eastAsia="id-ID" w:bidi="ar-SA"/>
        </w:rPr>
        <w:t>kerangka pembelajaran mendalam</w:t>
      </w:r>
      <w:r w:rsidRPr="00321768">
        <w:rPr>
          <w:rFonts w:ascii="Times New Roman" w:eastAsia="Times New Roman" w:hAnsi="Times New Roman" w:cs="Times New Roman"/>
          <w:color w:val="000000" w:themeColor="text1"/>
          <w:sz w:val="24"/>
          <w:szCs w:val="24"/>
          <w:lang w:eastAsia="id-ID" w:bidi="ar-SA"/>
        </w:rPr>
        <w:t> juga belum terwujud secara utuh. Guru masih berperan dominan (andragogi parsial) tanpa memfasilitasi pembelajaran yang bersifat </w:t>
      </w:r>
      <w:r w:rsidRPr="00321768">
        <w:rPr>
          <w:rFonts w:ascii="Times New Roman" w:eastAsia="Times New Roman" w:hAnsi="Times New Roman" w:cs="Times New Roman"/>
          <w:b/>
          <w:bCs/>
          <w:color w:val="000000" w:themeColor="text1"/>
          <w:sz w:val="24"/>
          <w:szCs w:val="24"/>
          <w:lang w:eastAsia="id-ID" w:bidi="ar-SA"/>
        </w:rPr>
        <w:t>heutagogis</w:t>
      </w:r>
      <w:r w:rsidRPr="00321768">
        <w:rPr>
          <w:rFonts w:ascii="Times New Roman" w:eastAsia="Times New Roman" w:hAnsi="Times New Roman" w:cs="Times New Roman"/>
          <w:color w:val="000000" w:themeColor="text1"/>
          <w:sz w:val="24"/>
          <w:szCs w:val="24"/>
          <w:lang w:eastAsia="id-ID" w:bidi="ar-SA"/>
        </w:rPr>
        <w:t> (berbasis kemandirian murid), </w:t>
      </w:r>
      <w:r w:rsidRPr="00321768">
        <w:rPr>
          <w:rFonts w:ascii="Times New Roman" w:eastAsia="Times New Roman" w:hAnsi="Times New Roman" w:cs="Times New Roman"/>
          <w:b/>
          <w:bCs/>
          <w:color w:val="000000" w:themeColor="text1"/>
          <w:sz w:val="24"/>
          <w:szCs w:val="24"/>
          <w:lang w:eastAsia="id-ID" w:bidi="ar-SA"/>
        </w:rPr>
        <w:t>peeragogis</w:t>
      </w:r>
      <w:r w:rsidRPr="00321768">
        <w:rPr>
          <w:rFonts w:ascii="Times New Roman" w:eastAsia="Times New Roman" w:hAnsi="Times New Roman" w:cs="Times New Roman"/>
          <w:color w:val="000000" w:themeColor="text1"/>
          <w:sz w:val="24"/>
          <w:szCs w:val="24"/>
          <w:lang w:eastAsia="id-ID" w:bidi="ar-SA"/>
        </w:rPr>
        <w:t> (melalui kerja sama antarmurid), maupun </w:t>
      </w:r>
      <w:r w:rsidRPr="00321768">
        <w:rPr>
          <w:rFonts w:ascii="Times New Roman" w:eastAsia="Times New Roman" w:hAnsi="Times New Roman" w:cs="Times New Roman"/>
          <w:b/>
          <w:bCs/>
          <w:color w:val="000000" w:themeColor="text1"/>
          <w:sz w:val="24"/>
          <w:szCs w:val="24"/>
          <w:lang w:eastAsia="id-ID" w:bidi="ar-SA"/>
        </w:rPr>
        <w:t>sibergogis</w:t>
      </w:r>
      <w:r w:rsidRPr="00321768">
        <w:rPr>
          <w:rFonts w:ascii="Times New Roman" w:eastAsia="Times New Roman" w:hAnsi="Times New Roman" w:cs="Times New Roman"/>
          <w:color w:val="000000" w:themeColor="text1"/>
          <w:sz w:val="24"/>
          <w:szCs w:val="24"/>
          <w:lang w:eastAsia="id-ID" w:bidi="ar-SA"/>
        </w:rPr>
        <w:t> (menggunakan teknologi digital seperti simulasi elektronik atau e-lab). Asesmen yang dilakukan pun belum autentik, terbatas pada tes tertulis yang tidak mencerminkan keterampilan vokasional.</w:t>
      </w:r>
    </w:p>
    <w:p w14:paraId="7A2DE651"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4"/>
          <w:szCs w:val="24"/>
          <w:lang w:eastAsia="id-ID" w:bidi="ar-SA"/>
        </w:rPr>
      </w:pPr>
      <w:r w:rsidRPr="00321768">
        <w:rPr>
          <w:rFonts w:ascii="Times New Roman" w:eastAsia="Times New Roman" w:hAnsi="Times New Roman" w:cs="Times New Roman"/>
          <w:color w:val="000000" w:themeColor="text1"/>
          <w:sz w:val="24"/>
          <w:szCs w:val="24"/>
          <w:lang w:eastAsia="id-ID" w:bidi="ar-SA"/>
        </w:rPr>
        <w:t>Akibatnya, lulusan mengalami kesulitan saat praktik kerja lapangan (PKL) karena kurang terbiasa dengan konteks dan alat yang digunakan di dunia kerja. Beberapa murid bahkan menunjukkan kecenderungan pasif dan tidak percaya diri saat diminta menyelesaikan masalah teknis di lapangan.</w:t>
      </w:r>
    </w:p>
    <w:p w14:paraId="4DE99F6C" w14:textId="77777777" w:rsidR="00321768" w:rsidRPr="00321768" w:rsidRDefault="00321768" w:rsidP="00321768">
      <w:pPr>
        <w:spacing w:before="150" w:after="150" w:line="240" w:lineRule="auto"/>
        <w:rPr>
          <w:rFonts w:ascii="Times New Roman" w:eastAsia="Times New Roman" w:hAnsi="Times New Roman" w:cs="Times New Roman"/>
          <w:color w:val="000000" w:themeColor="text1"/>
          <w:sz w:val="24"/>
          <w:szCs w:val="24"/>
          <w:lang w:eastAsia="id-ID" w:bidi="ar-SA"/>
        </w:rPr>
      </w:pPr>
      <w:r w:rsidRPr="00321768">
        <w:rPr>
          <w:rFonts w:ascii="Times New Roman" w:eastAsia="Times New Roman" w:hAnsi="Times New Roman" w:cs="Times New Roman"/>
          <w:color w:val="000000" w:themeColor="text1"/>
          <w:sz w:val="24"/>
          <w:szCs w:val="24"/>
          <w:lang w:eastAsia="id-ID" w:bidi="ar-SA"/>
        </w:rPr>
        <w:pict w14:anchorId="7B1FD805">
          <v:rect id="_x0000_i1025" style="width:0;height:1.5pt" o:hralign="left" o:hrstd="t" o:hr="t" fillcolor="#a0a0a0" stroked="f"/>
        </w:pict>
      </w:r>
    </w:p>
    <w:p w14:paraId="1695BE97"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Kasus di atas mencerminkan tantangan yang sering muncul dalam pembelajaran vokasional di SMK, khususnya ketika prinsip, pengalaman, dan kerangka pembelajaran mendalam belum terintegrasi secara utuh. Situasi tersebut memperlihatkan bahwa keberhasilan pembelajaran tidak hanya ditentukan oleh penyampaian materi, tetapi oleh sejauh mana pembelajaran dirancang untuk bermakna, berkesadaran, dan menggembirakan bagi murid.</w:t>
      </w:r>
    </w:p>
    <w:p w14:paraId="09BD5DDB"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Untuk memahami permasalahan secara lebih mendalam, mahasiswa PPG perlu menelaah bagaimana setiap komponen dalam pembelajaran, mulai dari tujuan, aktivitas, hingga asesmen berkaitan dengan tiga landasan utama pembelajaran mendalam:</w:t>
      </w:r>
    </w:p>
    <w:p w14:paraId="40C65A79" w14:textId="77777777" w:rsidR="00321768" w:rsidRPr="00321768" w:rsidRDefault="00321768" w:rsidP="00321768">
      <w:pPr>
        <w:numPr>
          <w:ilvl w:val="0"/>
          <w:numId w:val="1"/>
        </w:numPr>
        <w:spacing w:before="100" w:beforeAutospacing="1" w:after="100" w:afterAutospacing="1" w:line="240" w:lineRule="auto"/>
        <w:ind w:left="1095"/>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Prinsip Pembelajaran Mendalam, yang menekankan nilai-nilai kebermaknaan dan kesadaran dalam proses belajar.</w:t>
      </w:r>
    </w:p>
    <w:p w14:paraId="1489AB7A" w14:textId="77777777" w:rsidR="00321768" w:rsidRPr="00321768" w:rsidRDefault="00321768" w:rsidP="00321768">
      <w:pPr>
        <w:numPr>
          <w:ilvl w:val="0"/>
          <w:numId w:val="1"/>
        </w:numPr>
        <w:spacing w:before="100" w:beforeAutospacing="1" w:after="100" w:afterAutospacing="1" w:line="240" w:lineRule="auto"/>
        <w:ind w:left="1095"/>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lastRenderedPageBreak/>
        <w:t>Pengalaman Pembelajaran Mendalam, yang berfokus pada tahapan memahami, mengaplikasikan, dan merefleksikan pengetahuan secara kontekstual.</w:t>
      </w:r>
    </w:p>
    <w:p w14:paraId="008420CB" w14:textId="77777777" w:rsidR="00321768" w:rsidRPr="00321768" w:rsidRDefault="00321768" w:rsidP="00321768">
      <w:pPr>
        <w:numPr>
          <w:ilvl w:val="0"/>
          <w:numId w:val="1"/>
        </w:numPr>
        <w:spacing w:before="100" w:beforeAutospacing="1" w:after="100" w:afterAutospacing="1" w:line="240" w:lineRule="auto"/>
        <w:ind w:left="1095"/>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Kerangka Pembelajaran Mendalam, yang menuntut guru untuk menata lingkungan belajar yang kolaboratif, mandiri, dan digital melalui pendekatan </w:t>
      </w:r>
      <w:r w:rsidRPr="00321768">
        <w:rPr>
          <w:rFonts w:ascii="Times New Roman" w:eastAsia="Times New Roman" w:hAnsi="Times New Roman" w:cs="Times New Roman"/>
          <w:i/>
          <w:iCs/>
          <w:color w:val="000000" w:themeColor="text1"/>
          <w:sz w:val="24"/>
          <w:szCs w:val="24"/>
          <w:lang w:eastAsia="id-ID" w:bidi="ar-SA"/>
        </w:rPr>
        <w:t>andragogi, heutagogi, peeragogi,</w:t>
      </w:r>
      <w:r w:rsidRPr="00321768">
        <w:rPr>
          <w:rFonts w:ascii="Times New Roman" w:eastAsia="Times New Roman" w:hAnsi="Times New Roman" w:cs="Times New Roman"/>
          <w:color w:val="000000" w:themeColor="text1"/>
          <w:sz w:val="24"/>
          <w:szCs w:val="24"/>
          <w:lang w:eastAsia="id-ID" w:bidi="ar-SA"/>
        </w:rPr>
        <w:t> dan </w:t>
      </w:r>
      <w:r w:rsidRPr="00321768">
        <w:rPr>
          <w:rFonts w:ascii="Times New Roman" w:eastAsia="Times New Roman" w:hAnsi="Times New Roman" w:cs="Times New Roman"/>
          <w:i/>
          <w:iCs/>
          <w:color w:val="000000" w:themeColor="text1"/>
          <w:sz w:val="24"/>
          <w:szCs w:val="24"/>
          <w:lang w:eastAsia="id-ID" w:bidi="ar-SA"/>
        </w:rPr>
        <w:t>sibergogi.</w:t>
      </w:r>
    </w:p>
    <w:p w14:paraId="67EACB6F"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Untuk menelaah kasus pembelajaran di SMK Nusantara secara lebih mendalam, mahasiswa PPG perlu melihat permasalahan tidak hanya dari sisi metode atau hasil belajar, tetapi juga dari tiga komponen utama Pembelajaran Mendalam: </w:t>
      </w:r>
      <w:r w:rsidRPr="00321768">
        <w:rPr>
          <w:rFonts w:ascii="Times New Roman" w:eastAsia="Times New Roman" w:hAnsi="Times New Roman" w:cs="Times New Roman"/>
          <w:b/>
          <w:bCs/>
          <w:color w:val="000000" w:themeColor="text1"/>
          <w:sz w:val="24"/>
          <w:szCs w:val="24"/>
          <w:lang w:eastAsia="id-ID" w:bidi="ar-SA"/>
        </w:rPr>
        <w:t>prinsip, pengalaman, dan kerangka pembelajaran.</w:t>
      </w:r>
      <w:r w:rsidRPr="00321768">
        <w:rPr>
          <w:rFonts w:ascii="Times New Roman" w:eastAsia="Times New Roman" w:hAnsi="Times New Roman" w:cs="Times New Roman"/>
          <w:color w:val="000000" w:themeColor="text1"/>
          <w:sz w:val="24"/>
          <w:szCs w:val="24"/>
          <w:lang w:eastAsia="id-ID" w:bidi="ar-SA"/>
        </w:rPr>
        <w:t> Ketiga aspek inilah yang akan menjadi dasar analisis untuk memahami sejauh mana rancangan dan pelaksanaan pembelajaran telah menciptakan pengalaman belajar yang bermakna, reflektif, dan relevan bagi kesiapan kerja murid.</w:t>
      </w:r>
    </w:p>
    <w:p w14:paraId="358B4A4D" w14:textId="77777777" w:rsidR="00321768" w:rsidRPr="00321768" w:rsidRDefault="00321768" w:rsidP="00321768">
      <w:pPr>
        <w:spacing w:before="150" w:after="150" w:line="240" w:lineRule="auto"/>
        <w:rPr>
          <w:rFonts w:ascii="Times New Roman" w:eastAsia="Times New Roman" w:hAnsi="Times New Roman" w:cs="Times New Roman"/>
          <w:color w:val="000000" w:themeColor="text1"/>
          <w:sz w:val="24"/>
          <w:szCs w:val="24"/>
          <w:lang w:eastAsia="id-ID" w:bidi="ar-SA"/>
        </w:rPr>
      </w:pPr>
      <w:r w:rsidRPr="00321768">
        <w:rPr>
          <w:rFonts w:ascii="Times New Roman" w:eastAsia="Times New Roman" w:hAnsi="Times New Roman" w:cs="Times New Roman"/>
          <w:color w:val="000000" w:themeColor="text1"/>
          <w:sz w:val="24"/>
          <w:szCs w:val="24"/>
          <w:lang w:eastAsia="id-ID" w:bidi="ar-SA"/>
        </w:rPr>
        <w:pict w14:anchorId="0FAF35ED">
          <v:rect id="_x0000_i1026" style="width:0;height:1.5pt" o:hralign="left" o:hrstd="t" o:hr="t" fillcolor="#a0a0a0" stroked="f"/>
        </w:pict>
      </w:r>
    </w:p>
    <w:p w14:paraId="3BAE3D45"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Berdasarkan pemahaman tersebut, berikut adalah pertanyaan-pertanyaan pemantik yang dapat digunakan untuk menganalisis kasus "Kesenjangan Teori dan Praktik dalam Pembelajaran Teknik Elektronika di SMK Nusantara."</w:t>
      </w:r>
    </w:p>
    <w:p w14:paraId="26715CFB"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b/>
          <w:bCs/>
          <w:color w:val="000000" w:themeColor="text1"/>
          <w:sz w:val="24"/>
          <w:szCs w:val="24"/>
          <w:lang w:eastAsia="id-ID" w:bidi="ar-SA"/>
        </w:rPr>
        <w:t>Pertanyaan Pemantik:</w:t>
      </w:r>
    </w:p>
    <w:p w14:paraId="6608C5A6" w14:textId="77777777" w:rsidR="00321768" w:rsidRPr="00321768" w:rsidRDefault="00321768" w:rsidP="00321768">
      <w:pPr>
        <w:numPr>
          <w:ilvl w:val="0"/>
          <w:numId w:val="2"/>
        </w:numPr>
        <w:spacing w:before="100" w:beforeAutospacing="1" w:after="100" w:afterAutospacing="1" w:line="240" w:lineRule="auto"/>
        <w:ind w:left="1095"/>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Bagaimana pembelajaran Teknik Elektronika di SMK Nusantara dapat dirancang agar </w:t>
      </w:r>
      <w:r w:rsidRPr="00321768">
        <w:rPr>
          <w:rFonts w:ascii="Times New Roman" w:eastAsia="Times New Roman" w:hAnsi="Times New Roman" w:cs="Times New Roman"/>
          <w:b/>
          <w:bCs/>
          <w:color w:val="000000" w:themeColor="text1"/>
          <w:sz w:val="24"/>
          <w:szCs w:val="24"/>
          <w:lang w:eastAsia="id-ID" w:bidi="ar-SA"/>
        </w:rPr>
        <w:t>bermakna, berkesadaran, dan menggembirakan</w:t>
      </w:r>
      <w:r w:rsidRPr="00321768">
        <w:rPr>
          <w:rFonts w:ascii="Times New Roman" w:eastAsia="Times New Roman" w:hAnsi="Times New Roman" w:cs="Times New Roman"/>
          <w:color w:val="000000" w:themeColor="text1"/>
          <w:sz w:val="24"/>
          <w:szCs w:val="24"/>
          <w:lang w:eastAsia="id-ID" w:bidi="ar-SA"/>
        </w:rPr>
        <w:t>, sehingga murid memahami relevansi antara teori dan praktik dalam konteks dunia kerja?</w:t>
      </w:r>
    </w:p>
    <w:p w14:paraId="7993618B" w14:textId="77777777" w:rsidR="00321768" w:rsidRPr="00321768" w:rsidRDefault="00321768" w:rsidP="00321768">
      <w:pPr>
        <w:numPr>
          <w:ilvl w:val="0"/>
          <w:numId w:val="2"/>
        </w:numPr>
        <w:spacing w:before="100" w:beforeAutospacing="1" w:after="100" w:afterAutospacing="1" w:line="240" w:lineRule="auto"/>
        <w:ind w:left="1095"/>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Pada tahap mana dari proses memahami, mengaplikasikan, dan merefleksikan murid mengalami hambatan, dan bagaimana guru dapat memfasilitasi agar ketiga tahap tersebut berjalan utuh dalam kegiatan belajar di bengkel atau laboratorium?</w:t>
      </w:r>
    </w:p>
    <w:p w14:paraId="26121572" w14:textId="77777777" w:rsidR="00321768" w:rsidRPr="00321768" w:rsidRDefault="00321768" w:rsidP="00321768">
      <w:pPr>
        <w:numPr>
          <w:ilvl w:val="0"/>
          <w:numId w:val="2"/>
        </w:numPr>
        <w:spacing w:before="100" w:beforeAutospacing="1" w:after="100" w:afterAutospacing="1" w:line="240" w:lineRule="auto"/>
        <w:ind w:left="1095"/>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Bagaimana penerapan </w:t>
      </w:r>
      <w:r w:rsidRPr="00321768">
        <w:rPr>
          <w:rFonts w:ascii="Times New Roman" w:eastAsia="Times New Roman" w:hAnsi="Times New Roman" w:cs="Times New Roman"/>
          <w:b/>
          <w:bCs/>
          <w:color w:val="000000" w:themeColor="text1"/>
          <w:sz w:val="24"/>
          <w:szCs w:val="24"/>
          <w:lang w:eastAsia="id-ID" w:bidi="ar-SA"/>
        </w:rPr>
        <w:t>andragogi, heutagogi, peeragogi, dan sibergogi</w:t>
      </w:r>
      <w:r w:rsidRPr="00321768">
        <w:rPr>
          <w:rFonts w:ascii="Times New Roman" w:eastAsia="Times New Roman" w:hAnsi="Times New Roman" w:cs="Times New Roman"/>
          <w:color w:val="000000" w:themeColor="text1"/>
          <w:sz w:val="24"/>
          <w:szCs w:val="24"/>
          <w:lang w:eastAsia="id-ID" w:bidi="ar-SA"/>
        </w:rPr>
        <w:t> dapat membantu murid SMK belajar secara lebih mandiri, kolaboratif, dan kontekstual sesuai dengan tuntutan dunia industri dan teknologi digital?</w:t>
      </w:r>
    </w:p>
    <w:p w14:paraId="1ECD8B4F" w14:textId="77777777" w:rsidR="00321768" w:rsidRPr="00321768" w:rsidRDefault="00321768" w:rsidP="00321768">
      <w:pPr>
        <w:spacing w:before="180" w:after="180" w:line="240" w:lineRule="auto"/>
        <w:jc w:val="both"/>
        <w:rPr>
          <w:rFonts w:ascii="Times New Roman" w:eastAsia="Times New Roman" w:hAnsi="Times New Roman" w:cs="Times New Roman"/>
          <w:color w:val="000000" w:themeColor="text1"/>
          <w:sz w:val="21"/>
          <w:szCs w:val="21"/>
          <w:lang w:eastAsia="id-ID" w:bidi="ar-SA"/>
        </w:rPr>
      </w:pPr>
      <w:r w:rsidRPr="00321768">
        <w:rPr>
          <w:rFonts w:ascii="Times New Roman" w:eastAsia="Times New Roman" w:hAnsi="Times New Roman" w:cs="Times New Roman"/>
          <w:color w:val="000000" w:themeColor="text1"/>
          <w:sz w:val="24"/>
          <w:szCs w:val="24"/>
          <w:lang w:eastAsia="id-ID" w:bidi="ar-SA"/>
        </w:rPr>
        <w:t>Setelah melakukan analisis terhadap kasus yang disajikan dan menjawab pertanyaan pemantik, langkah berikutnya adalah memperdalam pemahaman tentang bagaimana merancang pembelajaran yang efektif. Untuk itu, mahasiswa perlu memahami struktur dasar dan komponen penting dalam perencanaan pembelajaran. Pemahaman ini akan menjadi bekal dalam menyusun rancangan pembelajaran yang tidak hanya selaras dengan tujuan, tetapi juga mampu mendorong tercapainya kompetensi murid secara nyata.</w:t>
      </w:r>
    </w:p>
    <w:p w14:paraId="6AC032DE" w14:textId="77777777" w:rsidR="00321768" w:rsidRPr="004543DA" w:rsidRDefault="00321768">
      <w:pPr>
        <w:rPr>
          <w:rFonts w:ascii="Times New Roman" w:hAnsi="Times New Roman" w:cs="Times New Roman"/>
          <w:color w:val="000000" w:themeColor="text1"/>
          <w:sz w:val="24"/>
          <w:szCs w:val="32"/>
        </w:rPr>
      </w:pPr>
    </w:p>
    <w:sectPr w:rsidR="00321768" w:rsidRPr="004543D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225C4"/>
    <w:multiLevelType w:val="multilevel"/>
    <w:tmpl w:val="173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0F07E0"/>
    <w:multiLevelType w:val="multilevel"/>
    <w:tmpl w:val="B562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258385">
    <w:abstractNumId w:val="1"/>
  </w:num>
  <w:num w:numId="2" w16cid:durableId="55004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F3E"/>
    <w:rsid w:val="001623E2"/>
    <w:rsid w:val="001C2F3E"/>
    <w:rsid w:val="002E564A"/>
    <w:rsid w:val="00321768"/>
    <w:rsid w:val="003A567C"/>
    <w:rsid w:val="004543DA"/>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4A536"/>
  <w15:chartTrackingRefBased/>
  <w15:docId w15:val="{913C4D92-92C9-4E5C-8401-F3F74B768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96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2026-03-29T12:55:00Z</dcterms:created>
  <dcterms:modified xsi:type="dcterms:W3CDTF">2026-03-29T12:57:00Z</dcterms:modified>
</cp:coreProperties>
</file>