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EB654" w14:textId="77777777" w:rsidR="00941C37" w:rsidRPr="00941C37" w:rsidRDefault="00941C37" w:rsidP="00941C37">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color w:val="000000"/>
          <w:sz w:val="24"/>
          <w:szCs w:val="24"/>
          <w:lang w:eastAsia="id-ID" w:bidi="ar-SA"/>
        </w:rPr>
        <w:t>Setelah mengetahui di mana posisi kita dan ke mana hendak pergi, pertanyaan berikutnya adalah: bagaimana cara terbaik untuk sampai ke sana? Guru abad ke-21 memiliki akses terhadap spektrum strategi belajar yang belum pernah seluas ini dalam sejarah profesi keguruan. Merujuk pada kerangka 70-20-10, sebagian besar pertumbuhan kompetensi terjadi bukan melalui jalur formal semata: 70% dari pengalaman langsung dalam pekerjaan, 20% dari interaksi dengan orang lain, dan 10% dari pelatihan dan pendidikan formal (Lombardo &amp; Eichinger, 1996; Clardy, 2018).</w:t>
      </w:r>
    </w:p>
    <w:p w14:paraId="7B45BDEE" w14:textId="77777777" w:rsidR="00941C37" w:rsidRPr="00941C37" w:rsidRDefault="00941C37" w:rsidP="00941C37">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b/>
          <w:bCs/>
          <w:color w:val="000000"/>
          <w:sz w:val="24"/>
          <w:szCs w:val="24"/>
          <w:lang w:eastAsia="id-ID" w:bidi="ar-SA"/>
        </w:rPr>
        <w:t>Strategi Formal dan Non-Formal</w:t>
      </w:r>
      <w:r w:rsidRPr="00941C37">
        <w:rPr>
          <w:rFonts w:ascii="Helvetica" w:eastAsia="Times New Roman" w:hAnsi="Helvetica" w:cs="Times New Roman"/>
          <w:color w:val="273540"/>
          <w:sz w:val="24"/>
          <w:szCs w:val="24"/>
          <w:lang w:eastAsia="id-ID" w:bidi="ar-SA"/>
        </w:rPr>
        <w:br/>
      </w:r>
      <w:r w:rsidRPr="00941C37">
        <w:rPr>
          <w:rFonts w:ascii="Helvetica" w:eastAsia="Times New Roman" w:hAnsi="Helvetica" w:cs="Times New Roman"/>
          <w:color w:val="000000"/>
          <w:sz w:val="24"/>
          <w:szCs w:val="24"/>
          <w:lang w:eastAsia="id-ID" w:bidi="ar-SA"/>
        </w:rPr>
        <w:t>Jalur formal seperti program S2, PPG, sertifikasi profesi, dan pelatihan bersertifikat, memberikan landasan kompetensi yang diakui secara institusional. Jalur non-formal seperti MGMP, webinar tematik, seminar pendidikan, hingga </w:t>
      </w:r>
      <w:r w:rsidRPr="00941C37">
        <w:rPr>
          <w:rFonts w:ascii="Helvetica" w:eastAsia="Times New Roman" w:hAnsi="Helvetica" w:cs="Times New Roman"/>
          <w:i/>
          <w:iCs/>
          <w:color w:val="000000"/>
          <w:sz w:val="24"/>
          <w:szCs w:val="24"/>
          <w:lang w:eastAsia="id-ID" w:bidi="ar-SA"/>
        </w:rPr>
        <w:t>micro-credentials</w:t>
      </w:r>
      <w:r w:rsidRPr="00941C37">
        <w:rPr>
          <w:rFonts w:ascii="Helvetica" w:eastAsia="Times New Roman" w:hAnsi="Helvetica" w:cs="Times New Roman"/>
          <w:color w:val="000000"/>
          <w:sz w:val="24"/>
          <w:szCs w:val="24"/>
          <w:lang w:eastAsia="id-ID" w:bidi="ar-SA"/>
        </w:rPr>
        <w:t> dari platform Coursera, LinkedIn Learning, atau Merdeka Mengajar menawarkan fleksibilitas yang sangat relevan bagi calon guru. Kuncinya bukan pada jumlah kegiatan yang diikuti, melainkan pada seberapa dalam koneksi yang terbangun antara apa yang dipelajari dengan apa yang dipraktikkan di kelas.</w:t>
      </w:r>
    </w:p>
    <w:p w14:paraId="3D9458C2" w14:textId="77777777" w:rsidR="00941C37" w:rsidRPr="00941C37" w:rsidRDefault="00941C37" w:rsidP="00941C37">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b/>
          <w:bCs/>
          <w:color w:val="000000"/>
          <w:sz w:val="24"/>
          <w:szCs w:val="24"/>
          <w:lang w:eastAsia="id-ID" w:bidi="ar-SA"/>
        </w:rPr>
        <w:t>Strategi Digital dan </w:t>
      </w:r>
      <w:r w:rsidRPr="00941C37">
        <w:rPr>
          <w:rFonts w:ascii="Helvetica" w:eastAsia="Times New Roman" w:hAnsi="Helvetica" w:cs="Times New Roman"/>
          <w:b/>
          <w:bCs/>
          <w:i/>
          <w:iCs/>
          <w:color w:val="000000"/>
          <w:sz w:val="24"/>
          <w:szCs w:val="24"/>
          <w:lang w:eastAsia="id-ID" w:bidi="ar-SA"/>
        </w:rPr>
        <w:t>Self-Directed</w:t>
      </w:r>
      <w:r w:rsidRPr="00941C37">
        <w:rPr>
          <w:rFonts w:ascii="Helvetica" w:eastAsia="Times New Roman" w:hAnsi="Helvetica" w:cs="Times New Roman"/>
          <w:b/>
          <w:bCs/>
          <w:color w:val="000000"/>
          <w:sz w:val="24"/>
          <w:szCs w:val="24"/>
          <w:lang w:eastAsia="id-ID" w:bidi="ar-SA"/>
        </w:rPr>
        <w:t> Learning (SDL)</w:t>
      </w:r>
      <w:r w:rsidRPr="00941C37">
        <w:rPr>
          <w:rFonts w:ascii="Helvetica" w:eastAsia="Times New Roman" w:hAnsi="Helvetica" w:cs="Times New Roman"/>
          <w:color w:val="273540"/>
          <w:sz w:val="24"/>
          <w:szCs w:val="24"/>
          <w:lang w:eastAsia="id-ID" w:bidi="ar-SA"/>
        </w:rPr>
        <w:br/>
      </w:r>
      <w:r w:rsidRPr="00941C37">
        <w:rPr>
          <w:rFonts w:ascii="Helvetica" w:eastAsia="Times New Roman" w:hAnsi="Helvetica" w:cs="Times New Roman"/>
          <w:color w:val="000000"/>
          <w:sz w:val="24"/>
          <w:szCs w:val="24"/>
          <w:lang w:eastAsia="id-ID" w:bidi="ar-SA"/>
        </w:rPr>
        <w:t>Ekosistem digital telah merevolusi cara guru belajar. Platform MOOC, podcast pendidikan, kanal YouTube praktisi, forum diskusi profesional daring, dan komunitas Guru Penggerak menawarkan sumber belajar yang nyaris tak terbatas. Namun melimpahnya sumber belajar digital justru menuntut keterampilan yang semakin kritis: self-directed learning (SDL) atau kemampuan untuk secara mandiri mendiagnosis kebutuhan belajar, memilih sumber yang tepat, memantau kemajuan, dan mengevaluasi hasil. Koay (2023) menegaskan bahwa SDL adalah konstruk kunci bagi pertumbuhan profesional yang berkelanjutan. SDL dapat dibangun melalui empat kebiasaan:</w:t>
      </w:r>
    </w:p>
    <w:p w14:paraId="7F1DE9B5" w14:textId="77777777" w:rsidR="00941C37" w:rsidRPr="00941C37" w:rsidRDefault="00941C37" w:rsidP="00941C37">
      <w:pPr>
        <w:numPr>
          <w:ilvl w:val="0"/>
          <w:numId w:val="1"/>
        </w:numPr>
        <w:shd w:val="clear" w:color="auto" w:fill="FFFFFF"/>
        <w:spacing w:after="0" w:line="240" w:lineRule="auto"/>
        <w:ind w:left="2190"/>
        <w:rPr>
          <w:rFonts w:ascii="Helvetica" w:eastAsia="Times New Roman" w:hAnsi="Helvetica" w:cs="Times New Roman"/>
          <w:color w:val="273540"/>
          <w:sz w:val="24"/>
          <w:szCs w:val="24"/>
          <w:lang w:eastAsia="id-ID" w:bidi="ar-SA"/>
        </w:rPr>
      </w:pPr>
    </w:p>
    <w:p w14:paraId="399BBFC9" w14:textId="77777777" w:rsidR="00941C37" w:rsidRPr="00941C37" w:rsidRDefault="00941C37" w:rsidP="00941C37">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color w:val="000000"/>
          <w:sz w:val="24"/>
          <w:szCs w:val="24"/>
          <w:lang w:eastAsia="id-ID" w:bidi="ar-SA"/>
        </w:rPr>
        <w:t>Menetapkan tujuan belajar mingguan yang spesifik</w:t>
      </w:r>
    </w:p>
    <w:p w14:paraId="271965C0" w14:textId="77777777" w:rsidR="00941C37" w:rsidRPr="00941C37" w:rsidRDefault="00941C37" w:rsidP="00941C37">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color w:val="000000"/>
          <w:sz w:val="24"/>
          <w:szCs w:val="24"/>
          <w:lang w:eastAsia="id-ID" w:bidi="ar-SA"/>
        </w:rPr>
        <w:t>Mengkurasi sumber belajar secara selektif dan kritis</w:t>
      </w:r>
    </w:p>
    <w:p w14:paraId="14614787" w14:textId="77777777" w:rsidR="00941C37" w:rsidRPr="00941C37" w:rsidRDefault="00941C37" w:rsidP="00941C37">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color w:val="000000"/>
          <w:sz w:val="24"/>
          <w:szCs w:val="24"/>
          <w:lang w:eastAsia="id-ID" w:bidi="ar-SA"/>
        </w:rPr>
        <w:t>Mendokumentasikan refleksi dalam learning log</w:t>
      </w:r>
    </w:p>
    <w:p w14:paraId="7301B22C" w14:textId="77777777" w:rsidR="00941C37" w:rsidRPr="00941C37" w:rsidRDefault="00941C37" w:rsidP="00941C37">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color w:val="000000"/>
          <w:sz w:val="24"/>
          <w:szCs w:val="24"/>
          <w:lang w:eastAsia="id-ID" w:bidi="ar-SA"/>
        </w:rPr>
        <w:t>Mengevaluasi secara berkala apakah pembelajaran telah mengubah praktik mengajar</w:t>
      </w:r>
    </w:p>
    <w:p w14:paraId="231D41AA" w14:textId="77777777" w:rsidR="00941C37" w:rsidRPr="00941C37" w:rsidRDefault="00941C37" w:rsidP="00941C37">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b/>
          <w:bCs/>
          <w:color w:val="000000"/>
          <w:sz w:val="24"/>
          <w:szCs w:val="24"/>
          <w:lang w:eastAsia="id-ID" w:bidi="ar-SA"/>
        </w:rPr>
        <w:t>Strategi Berbasis Pengalaman</w:t>
      </w:r>
      <w:r w:rsidRPr="00941C37">
        <w:rPr>
          <w:rFonts w:ascii="Helvetica" w:eastAsia="Times New Roman" w:hAnsi="Helvetica" w:cs="Times New Roman"/>
          <w:color w:val="273540"/>
          <w:sz w:val="24"/>
          <w:szCs w:val="24"/>
          <w:lang w:eastAsia="id-ID" w:bidi="ar-SA"/>
        </w:rPr>
        <w:br/>
      </w:r>
      <w:r w:rsidRPr="00941C37">
        <w:rPr>
          <w:rFonts w:ascii="Helvetica" w:eastAsia="Times New Roman" w:hAnsi="Helvetica" w:cs="Times New Roman"/>
          <w:color w:val="000000"/>
          <w:sz w:val="24"/>
          <w:szCs w:val="24"/>
          <w:lang w:eastAsia="id-ID" w:bidi="ar-SA"/>
        </w:rPr>
        <w:t>Sebagian besar pembelajaran profesional yang paling bermakna terjadi di ruang kelas itu sendiri. </w:t>
      </w:r>
      <w:r w:rsidRPr="00941C37">
        <w:rPr>
          <w:rFonts w:ascii="Helvetica" w:eastAsia="Times New Roman" w:hAnsi="Helvetica" w:cs="Times New Roman"/>
          <w:i/>
          <w:iCs/>
          <w:color w:val="000000"/>
          <w:sz w:val="24"/>
          <w:szCs w:val="24"/>
          <w:lang w:eastAsia="id-ID" w:bidi="ar-SA"/>
        </w:rPr>
        <w:t>On-the-job learning</w:t>
      </w:r>
      <w:r w:rsidRPr="00941C37">
        <w:rPr>
          <w:rFonts w:ascii="Helvetica" w:eastAsia="Times New Roman" w:hAnsi="Helvetica" w:cs="Times New Roman"/>
          <w:color w:val="000000"/>
          <w:sz w:val="24"/>
          <w:szCs w:val="24"/>
          <w:lang w:eastAsia="id-ID" w:bidi="ar-SA"/>
        </w:rPr>
        <w:t> melalui siklus </w:t>
      </w:r>
      <w:r w:rsidRPr="00941C37">
        <w:rPr>
          <w:rFonts w:ascii="Helvetica" w:eastAsia="Times New Roman" w:hAnsi="Helvetica" w:cs="Times New Roman"/>
          <w:i/>
          <w:iCs/>
          <w:color w:val="000000"/>
          <w:sz w:val="24"/>
          <w:szCs w:val="24"/>
          <w:lang w:eastAsia="id-ID" w:bidi="ar-SA"/>
        </w:rPr>
        <w:t>Experiential Learning</w:t>
      </w:r>
      <w:r w:rsidRPr="00941C37">
        <w:rPr>
          <w:rFonts w:ascii="Helvetica" w:eastAsia="Times New Roman" w:hAnsi="Helvetica" w:cs="Times New Roman"/>
          <w:color w:val="000000"/>
          <w:sz w:val="24"/>
          <w:szCs w:val="24"/>
          <w:lang w:eastAsia="id-ID" w:bidi="ar-SA"/>
        </w:rPr>
        <w:t> Kolb, yaitu: mengalami, merefleksikan, mengonseptualisasikan, bereksperimen Kembali, merupakan mekanisme pertumbuhan yang paling autentik. Action learning dan Penelitian Tindakan Kelas (PTK) membawa dimensi ini lebih jauh: guru secara sistematis menginvestigasi dan memperbaiki praktiknya berdasarkan data nyata. </w:t>
      </w:r>
      <w:r w:rsidRPr="00941C37">
        <w:rPr>
          <w:rFonts w:ascii="Helvetica" w:eastAsia="Times New Roman" w:hAnsi="Helvetica" w:cs="Times New Roman"/>
          <w:i/>
          <w:iCs/>
          <w:color w:val="000000"/>
          <w:sz w:val="24"/>
          <w:szCs w:val="24"/>
          <w:lang w:eastAsia="id-ID" w:bidi="ar-SA"/>
        </w:rPr>
        <w:t>Stretch assignments</w:t>
      </w:r>
      <w:r w:rsidRPr="00941C37">
        <w:rPr>
          <w:rFonts w:ascii="Helvetica" w:eastAsia="Times New Roman" w:hAnsi="Helvetica" w:cs="Times New Roman"/>
          <w:color w:val="000000"/>
          <w:sz w:val="24"/>
          <w:szCs w:val="24"/>
          <w:lang w:eastAsia="id-ID" w:bidi="ar-SA"/>
        </w:rPr>
        <w:t> atau penugasan yang melampaui zona nyaman seperti memimpin sesi berbagi praktik, melengkapi strategi ini dengan mempercepat pengembangan kapabilitas baru.</w:t>
      </w:r>
    </w:p>
    <w:p w14:paraId="346CDE04" w14:textId="77777777" w:rsidR="00941C37" w:rsidRPr="00941C37" w:rsidRDefault="00941C37" w:rsidP="00941C37">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41C37">
        <w:rPr>
          <w:rFonts w:ascii="Helvetica" w:eastAsia="Times New Roman" w:hAnsi="Helvetica" w:cs="Times New Roman"/>
          <w:b/>
          <w:bCs/>
          <w:color w:val="000000"/>
          <w:sz w:val="24"/>
          <w:szCs w:val="24"/>
          <w:lang w:eastAsia="id-ID" w:bidi="ar-SA"/>
        </w:rPr>
        <w:t>Memadukan Strategi: Pendekatan yang Cerdas</w:t>
      </w:r>
      <w:r w:rsidRPr="00941C37">
        <w:rPr>
          <w:rFonts w:ascii="Helvetica" w:eastAsia="Times New Roman" w:hAnsi="Helvetica" w:cs="Times New Roman"/>
          <w:color w:val="273540"/>
          <w:sz w:val="24"/>
          <w:szCs w:val="24"/>
          <w:lang w:eastAsia="id-ID" w:bidi="ar-SA"/>
        </w:rPr>
        <w:br/>
      </w:r>
      <w:r w:rsidRPr="00941C37">
        <w:rPr>
          <w:rFonts w:ascii="Helvetica" w:eastAsia="Times New Roman" w:hAnsi="Helvetica" w:cs="Times New Roman"/>
          <w:color w:val="000000"/>
          <w:sz w:val="24"/>
          <w:szCs w:val="24"/>
          <w:lang w:eastAsia="id-ID" w:bidi="ar-SA"/>
        </w:rPr>
        <w:t xml:space="preserve">Guru yang paling berkembang bukanlah mereka yang hanya mengandalkan satu jenis strategi, melainkan yang secara sadar memadukan berbagai modalitas. Misalnya: membaca jurnal atau mengikuti webinar (formal/digital) untuk membangun landasan </w:t>
      </w:r>
      <w:r w:rsidRPr="00941C37">
        <w:rPr>
          <w:rFonts w:ascii="Helvetica" w:eastAsia="Times New Roman" w:hAnsi="Helvetica" w:cs="Times New Roman"/>
          <w:color w:val="000000"/>
          <w:sz w:val="24"/>
          <w:szCs w:val="24"/>
          <w:lang w:eastAsia="id-ID" w:bidi="ar-SA"/>
        </w:rPr>
        <w:lastRenderedPageBreak/>
        <w:t>konseptual, lalu langsung mencobanya di kelas (</w:t>
      </w:r>
      <w:r w:rsidRPr="00941C37">
        <w:rPr>
          <w:rFonts w:ascii="Helvetica" w:eastAsia="Times New Roman" w:hAnsi="Helvetica" w:cs="Times New Roman"/>
          <w:i/>
          <w:iCs/>
          <w:color w:val="000000"/>
          <w:sz w:val="24"/>
          <w:szCs w:val="24"/>
          <w:lang w:eastAsia="id-ID" w:bidi="ar-SA"/>
        </w:rPr>
        <w:t>experiential</w:t>
      </w:r>
      <w:r w:rsidRPr="00941C37">
        <w:rPr>
          <w:rFonts w:ascii="Helvetica" w:eastAsia="Times New Roman" w:hAnsi="Helvetica" w:cs="Times New Roman"/>
          <w:color w:val="000000"/>
          <w:sz w:val="24"/>
          <w:szCs w:val="24"/>
          <w:lang w:eastAsia="id-ID" w:bidi="ar-SA"/>
        </w:rPr>
        <w:t>), kemudian mendiskusikan hasilnya dengan rekan PPG atau guru pamong (kolaboratif/mentoring). Siklus ini (belajar, mencoba, merefleksikan, berdiskusi, menyempurnakan) adalah jantung dari CPD yang sesungguhnya.</w:t>
      </w:r>
    </w:p>
    <w:p w14:paraId="6FF9F24A"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A15D5"/>
    <w:multiLevelType w:val="multilevel"/>
    <w:tmpl w:val="8464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4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32"/>
    <w:rsid w:val="001623E2"/>
    <w:rsid w:val="002E564A"/>
    <w:rsid w:val="003A567C"/>
    <w:rsid w:val="00941C37"/>
    <w:rsid w:val="009F6348"/>
    <w:rsid w:val="00D0053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7B7EAA-3427-4E04-922D-8ADAE3D3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33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2026-08-08T11:55:00Z</dcterms:created>
  <dcterms:modified xsi:type="dcterms:W3CDTF">2026-08-08T11:55:00Z</dcterms:modified>
</cp:coreProperties>
</file>