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6867B" w14:textId="77777777" w:rsidR="00452E8B" w:rsidRPr="00452E8B" w:rsidRDefault="00452E8B" w:rsidP="00452E8B">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Guru yang paling tumbuh pesat adalah mereka yang belajar bersama  dalam relasi yang bermakna dan komunitas yang saling mendukung. Dimensi keempat strategi belajar ini mencakup tiga modalitas yang sering disebut bersama namun berbeda secara fundamental: </w:t>
      </w:r>
      <w:r w:rsidRPr="00452E8B">
        <w:rPr>
          <w:rFonts w:ascii="Helvetica" w:eastAsia="Times New Roman" w:hAnsi="Helvetica" w:cs="Times New Roman"/>
          <w:i/>
          <w:iCs/>
          <w:color w:val="000000"/>
          <w:sz w:val="24"/>
          <w:szCs w:val="24"/>
          <w:lang w:eastAsia="id-ID" w:bidi="ar-SA"/>
        </w:rPr>
        <w:t>mentoring, coaching</w:t>
      </w:r>
      <w:r w:rsidRPr="00452E8B">
        <w:rPr>
          <w:rFonts w:ascii="Helvetica" w:eastAsia="Times New Roman" w:hAnsi="Helvetica" w:cs="Times New Roman"/>
          <w:color w:val="000000"/>
          <w:sz w:val="24"/>
          <w:szCs w:val="24"/>
          <w:lang w:eastAsia="id-ID" w:bidi="ar-SA"/>
        </w:rPr>
        <w:t>, dan komunitas belajar profesional.</w:t>
      </w:r>
    </w:p>
    <w:p w14:paraId="62A1DC72" w14:textId="77777777" w:rsidR="00452E8B" w:rsidRPr="00452E8B" w:rsidRDefault="00452E8B" w:rsidP="00452E8B">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color w:val="000000"/>
          <w:sz w:val="24"/>
          <w:szCs w:val="24"/>
          <w:lang w:eastAsia="id-ID" w:bidi="ar-SA"/>
        </w:rPr>
        <w:t>Mentoring, Coaching, dan Consulting: Tiga Relasi yang Berbeda</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61"/>
        <w:gridCol w:w="3350"/>
        <w:gridCol w:w="2256"/>
        <w:gridCol w:w="2243"/>
      </w:tblGrid>
      <w:tr w:rsidR="00452E8B" w:rsidRPr="00452E8B" w14:paraId="36B1ED61" w14:textId="77777777" w:rsidTr="00452E8B">
        <w:tc>
          <w:tcPr>
            <w:tcW w:w="644"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692F15B" w14:textId="77777777" w:rsidR="00452E8B" w:rsidRPr="00452E8B" w:rsidRDefault="00452E8B" w:rsidP="00452E8B">
            <w:pPr>
              <w:spacing w:after="0" w:line="240" w:lineRule="auto"/>
              <w:jc w:val="center"/>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i/>
                <w:iCs/>
                <w:color w:val="000000"/>
                <w:sz w:val="24"/>
                <w:szCs w:val="24"/>
                <w:lang w:eastAsia="id-ID" w:bidi="ar-SA"/>
              </w:rPr>
              <w:t>Dimensi</w:t>
            </w:r>
          </w:p>
        </w:tc>
        <w:tc>
          <w:tcPr>
            <w:tcW w:w="1859"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421821" w14:textId="77777777" w:rsidR="00452E8B" w:rsidRPr="00452E8B" w:rsidRDefault="00452E8B" w:rsidP="00452E8B">
            <w:pPr>
              <w:spacing w:after="0" w:line="240" w:lineRule="auto"/>
              <w:jc w:val="center"/>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i/>
                <w:iCs/>
                <w:color w:val="000000"/>
                <w:sz w:val="24"/>
                <w:szCs w:val="24"/>
                <w:lang w:eastAsia="id-ID" w:bidi="ar-SA"/>
              </w:rPr>
              <w:t>Mentoring</w:t>
            </w:r>
          </w:p>
        </w:tc>
        <w:tc>
          <w:tcPr>
            <w:tcW w:w="125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8A4B5BB" w14:textId="77777777" w:rsidR="00452E8B" w:rsidRPr="00452E8B" w:rsidRDefault="00452E8B" w:rsidP="00452E8B">
            <w:pPr>
              <w:spacing w:after="0" w:line="240" w:lineRule="auto"/>
              <w:jc w:val="center"/>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i/>
                <w:iCs/>
                <w:color w:val="000000"/>
                <w:sz w:val="24"/>
                <w:szCs w:val="24"/>
                <w:lang w:eastAsia="id-ID" w:bidi="ar-SA"/>
              </w:rPr>
              <w:t>Coaching</w:t>
            </w:r>
          </w:p>
        </w:tc>
        <w:tc>
          <w:tcPr>
            <w:tcW w:w="124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DC97A1" w14:textId="77777777" w:rsidR="00452E8B" w:rsidRPr="00452E8B" w:rsidRDefault="00452E8B" w:rsidP="00452E8B">
            <w:pPr>
              <w:spacing w:after="0" w:line="240" w:lineRule="auto"/>
              <w:jc w:val="center"/>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i/>
                <w:iCs/>
                <w:color w:val="000000"/>
                <w:sz w:val="24"/>
                <w:szCs w:val="24"/>
                <w:lang w:eastAsia="id-ID" w:bidi="ar-SA"/>
              </w:rPr>
              <w:t>Consulting</w:t>
            </w:r>
          </w:p>
        </w:tc>
      </w:tr>
      <w:tr w:rsidR="00452E8B" w:rsidRPr="00452E8B" w14:paraId="33FA08BD" w14:textId="77777777" w:rsidTr="00452E8B">
        <w:tc>
          <w:tcPr>
            <w:tcW w:w="644"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EC7FAC"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Orientasi</w:t>
            </w:r>
          </w:p>
        </w:tc>
        <w:tc>
          <w:tcPr>
            <w:tcW w:w="1859"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5EAD6BB"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Holistik &amp; jangka panjang</w:t>
            </w:r>
          </w:p>
        </w:tc>
        <w:tc>
          <w:tcPr>
            <w:tcW w:w="125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3C9754"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Tujuan spesifik &amp; terstruktur</w:t>
            </w:r>
          </w:p>
        </w:tc>
        <w:tc>
          <w:tcPr>
            <w:tcW w:w="124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88651B9"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Solusi berbasis keahlian</w:t>
            </w:r>
          </w:p>
        </w:tc>
      </w:tr>
      <w:tr w:rsidR="00452E8B" w:rsidRPr="00452E8B" w14:paraId="76552142" w14:textId="77777777" w:rsidTr="00452E8B">
        <w:tc>
          <w:tcPr>
            <w:tcW w:w="644"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2E0F08"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Peran utama</w:t>
            </w:r>
          </w:p>
        </w:tc>
        <w:tc>
          <w:tcPr>
            <w:tcW w:w="1859"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4036D9C"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Berbagi pengalaman &amp; perspektif</w:t>
            </w:r>
          </w:p>
        </w:tc>
        <w:tc>
          <w:tcPr>
            <w:tcW w:w="125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90F35B"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Mengajukan pertanyaan kuat</w:t>
            </w:r>
          </w:p>
        </w:tc>
        <w:tc>
          <w:tcPr>
            <w:tcW w:w="124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DD4C34C"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Memberikan rekomendasi</w:t>
            </w:r>
          </w:p>
        </w:tc>
      </w:tr>
      <w:tr w:rsidR="00452E8B" w:rsidRPr="00452E8B" w14:paraId="5DE958AC" w14:textId="77777777" w:rsidTr="00452E8B">
        <w:tc>
          <w:tcPr>
            <w:tcW w:w="644"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E9DB56"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Fokus</w:t>
            </w:r>
          </w:p>
        </w:tc>
        <w:tc>
          <w:tcPr>
            <w:tcW w:w="1859"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8903D8C"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Identitas profesional &amp; karier</w:t>
            </w:r>
          </w:p>
        </w:tc>
        <w:tc>
          <w:tcPr>
            <w:tcW w:w="125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95EC65"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Kompetensi &amp; kinerja spesifik</w:t>
            </w:r>
          </w:p>
        </w:tc>
        <w:tc>
          <w:tcPr>
            <w:tcW w:w="124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9A8B92"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Masalah teknis tertentu</w:t>
            </w:r>
          </w:p>
        </w:tc>
      </w:tr>
      <w:tr w:rsidR="00452E8B" w:rsidRPr="00452E8B" w14:paraId="48E33101" w14:textId="77777777" w:rsidTr="00452E8B">
        <w:tc>
          <w:tcPr>
            <w:tcW w:w="644"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FBA941"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Contoh di PPG</w:t>
            </w:r>
          </w:p>
        </w:tc>
        <w:tc>
          <w:tcPr>
            <w:tcW w:w="1859"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0991C98"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Guru pamong, dosen pembimbing</w:t>
            </w:r>
          </w:p>
        </w:tc>
        <w:tc>
          <w:tcPr>
            <w:tcW w:w="125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CEAE854"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Post-observation reflektif</w:t>
            </w:r>
          </w:p>
        </w:tc>
        <w:tc>
          <w:tcPr>
            <w:tcW w:w="124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ADFDB0D" w14:textId="77777777" w:rsidR="00452E8B" w:rsidRPr="00452E8B" w:rsidRDefault="00452E8B" w:rsidP="00452E8B">
            <w:pPr>
              <w:spacing w:after="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Ahli kurikulum/teknologi</w:t>
            </w:r>
          </w:p>
        </w:tc>
      </w:tr>
    </w:tbl>
    <w:p w14:paraId="4EDBBE71" w14:textId="77777777" w:rsidR="00452E8B" w:rsidRPr="00452E8B" w:rsidRDefault="00452E8B" w:rsidP="00452E8B">
      <w:pPr>
        <w:shd w:val="clear" w:color="auto" w:fill="FFFFFF"/>
        <w:spacing w:before="180" w:after="180" w:line="240" w:lineRule="auto"/>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color w:val="000000"/>
          <w:sz w:val="24"/>
          <w:szCs w:val="24"/>
          <w:lang w:eastAsia="id-ID" w:bidi="ar-SA"/>
        </w:rPr>
        <w:t>Ketiga modalitas ini tidak saling menggantikan. Seorang calon guru yang cerdas belajar memanfaatkan ketiganya pada momen dan kebutuhan yang tepat sepanjang perjalanan profesionalnya.</w:t>
      </w:r>
    </w:p>
    <w:p w14:paraId="5F25CF0A" w14:textId="77777777" w:rsidR="00452E8B" w:rsidRPr="00452E8B" w:rsidRDefault="00452E8B" w:rsidP="00452E8B">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color w:val="000000"/>
          <w:sz w:val="24"/>
          <w:szCs w:val="24"/>
          <w:lang w:eastAsia="id-ID" w:bidi="ar-SA"/>
        </w:rPr>
        <w:t>Membangun Jaringan Pembelajaran: Learning Community dan CoP</w:t>
      </w:r>
      <w:r w:rsidRPr="00452E8B">
        <w:rPr>
          <w:rFonts w:ascii="Helvetica" w:eastAsia="Times New Roman" w:hAnsi="Helvetica" w:cs="Times New Roman"/>
          <w:color w:val="273540"/>
          <w:sz w:val="24"/>
          <w:szCs w:val="24"/>
          <w:lang w:eastAsia="id-ID" w:bidi="ar-SA"/>
        </w:rPr>
        <w:br/>
      </w:r>
      <w:r w:rsidRPr="00452E8B">
        <w:rPr>
          <w:rFonts w:ascii="Helvetica" w:eastAsia="Times New Roman" w:hAnsi="Helvetica" w:cs="Times New Roman"/>
          <w:color w:val="000000"/>
          <w:sz w:val="24"/>
          <w:szCs w:val="24"/>
          <w:lang w:eastAsia="id-ID" w:bidi="ar-SA"/>
        </w:rPr>
        <w:t>Di luar relasi diadik, pertumbuhan profesional yang paling berkelanjutan terjadi dalam komunitas belajar. Wenger (1998) menyebutnya </w:t>
      </w:r>
      <w:r w:rsidRPr="00452E8B">
        <w:rPr>
          <w:rFonts w:ascii="Helvetica" w:eastAsia="Times New Roman" w:hAnsi="Helvetica" w:cs="Times New Roman"/>
          <w:i/>
          <w:iCs/>
          <w:color w:val="000000"/>
          <w:sz w:val="24"/>
          <w:szCs w:val="24"/>
          <w:lang w:eastAsia="id-ID" w:bidi="ar-SA"/>
        </w:rPr>
        <w:t>Communities of Practice</w:t>
      </w:r>
      <w:r w:rsidRPr="00452E8B">
        <w:rPr>
          <w:rFonts w:ascii="Helvetica" w:eastAsia="Times New Roman" w:hAnsi="Helvetica" w:cs="Times New Roman"/>
          <w:color w:val="000000"/>
          <w:sz w:val="24"/>
          <w:szCs w:val="24"/>
          <w:lang w:eastAsia="id-ID" w:bidi="ar-SA"/>
        </w:rPr>
        <w:t> (CoP): kelompok orang yang berbagi keprihatinan, tantangan, dan komitmen untuk terus belajar bersama. Temuan lintas negara TALIS 2018 yang mencakup 127.339 guru dari 40 negara mengonfirmasi hubungan positif yang kuat antara partisipasi dalam </w:t>
      </w:r>
      <w:r w:rsidRPr="00452E8B">
        <w:rPr>
          <w:rFonts w:ascii="Helvetica" w:eastAsia="Times New Roman" w:hAnsi="Helvetica" w:cs="Times New Roman"/>
          <w:i/>
          <w:iCs/>
          <w:color w:val="000000"/>
          <w:sz w:val="24"/>
          <w:szCs w:val="24"/>
          <w:lang w:eastAsia="id-ID" w:bidi="ar-SA"/>
        </w:rPr>
        <w:t>Professional Learning Community</w:t>
      </w:r>
      <w:r w:rsidRPr="00452E8B">
        <w:rPr>
          <w:rFonts w:ascii="Helvetica" w:eastAsia="Times New Roman" w:hAnsi="Helvetica" w:cs="Times New Roman"/>
          <w:color w:val="000000"/>
          <w:sz w:val="24"/>
          <w:szCs w:val="24"/>
          <w:lang w:eastAsia="id-ID" w:bidi="ar-SA"/>
        </w:rPr>
        <w:t> (PLC) dan kepuasan kerja guru (Blomeke et al., 2025).</w:t>
      </w:r>
      <w:r w:rsidRPr="00452E8B">
        <w:rPr>
          <w:rFonts w:ascii="Helvetica" w:eastAsia="Times New Roman" w:hAnsi="Helvetica" w:cs="Times New Roman"/>
          <w:color w:val="273540"/>
          <w:sz w:val="24"/>
          <w:szCs w:val="24"/>
          <w:lang w:eastAsia="id-ID" w:bidi="ar-SA"/>
        </w:rPr>
        <w:br/>
      </w:r>
      <w:r w:rsidRPr="00452E8B">
        <w:rPr>
          <w:rFonts w:ascii="Helvetica" w:eastAsia="Times New Roman" w:hAnsi="Helvetica" w:cs="Times New Roman"/>
          <w:color w:val="000000"/>
          <w:sz w:val="24"/>
          <w:szCs w:val="24"/>
          <w:lang w:eastAsia="id-ID" w:bidi="ar-SA"/>
        </w:rPr>
        <w:t>DuFour dan Eaker (1998) mengidentifikasi tiga pertanyaan inti yang harus dijawab bersama oleh setiap komunitas belajar yang efektif: apa yang harus dipelajari siswa?, bagaimana kita tahu mereka sudah belajar?, dan bagaimana kita merespons jika belum? Dalam ekosistem pendidikan Indonesia, CoP hadir dalam berbagai bentuk: KKG dan MGMP, </w:t>
      </w:r>
      <w:r w:rsidRPr="00452E8B">
        <w:rPr>
          <w:rFonts w:ascii="Helvetica" w:eastAsia="Times New Roman" w:hAnsi="Helvetica" w:cs="Times New Roman"/>
          <w:i/>
          <w:iCs/>
          <w:color w:val="000000"/>
          <w:sz w:val="24"/>
          <w:szCs w:val="24"/>
          <w:lang w:eastAsia="id-ID" w:bidi="ar-SA"/>
        </w:rPr>
        <w:t>Lesson Study</w:t>
      </w:r>
      <w:r w:rsidRPr="00452E8B">
        <w:rPr>
          <w:rFonts w:ascii="Helvetica" w:eastAsia="Times New Roman" w:hAnsi="Helvetica" w:cs="Times New Roman"/>
          <w:color w:val="000000"/>
          <w:sz w:val="24"/>
          <w:szCs w:val="24"/>
          <w:lang w:eastAsia="id-ID" w:bidi="ar-SA"/>
        </w:rPr>
        <w:t> (Plan-Do-See), </w:t>
      </w:r>
      <w:r w:rsidRPr="00452E8B">
        <w:rPr>
          <w:rFonts w:ascii="Helvetica" w:eastAsia="Times New Roman" w:hAnsi="Helvetica" w:cs="Times New Roman"/>
          <w:i/>
          <w:iCs/>
          <w:color w:val="000000"/>
          <w:sz w:val="24"/>
          <w:szCs w:val="24"/>
          <w:lang w:eastAsia="id-ID" w:bidi="ar-SA"/>
        </w:rPr>
        <w:t>peer observation</w:t>
      </w:r>
      <w:r w:rsidRPr="00452E8B">
        <w:rPr>
          <w:rFonts w:ascii="Helvetica" w:eastAsia="Times New Roman" w:hAnsi="Helvetica" w:cs="Times New Roman"/>
          <w:color w:val="000000"/>
          <w:sz w:val="24"/>
          <w:szCs w:val="24"/>
          <w:lang w:eastAsia="id-ID" w:bidi="ar-SA"/>
        </w:rPr>
        <w:t>, komunitas Guru Penggerak, forum Merdeka Mengajar, hingga </w:t>
      </w:r>
      <w:r w:rsidRPr="00452E8B">
        <w:rPr>
          <w:rFonts w:ascii="Helvetica" w:eastAsia="Times New Roman" w:hAnsi="Helvetica" w:cs="Times New Roman"/>
          <w:i/>
          <w:iCs/>
          <w:color w:val="000000"/>
          <w:sz w:val="24"/>
          <w:szCs w:val="24"/>
          <w:lang w:eastAsia="id-ID" w:bidi="ar-SA"/>
        </w:rPr>
        <w:t>book club profesional</w:t>
      </w:r>
      <w:r w:rsidRPr="00452E8B">
        <w:rPr>
          <w:rFonts w:ascii="Helvetica" w:eastAsia="Times New Roman" w:hAnsi="Helvetica" w:cs="Times New Roman"/>
          <w:color w:val="000000"/>
          <w:sz w:val="24"/>
          <w:szCs w:val="24"/>
          <w:lang w:eastAsia="id-ID" w:bidi="ar-SA"/>
        </w:rPr>
        <w:t>.</w:t>
      </w:r>
    </w:p>
    <w:p w14:paraId="4884923E" w14:textId="77777777" w:rsidR="00452E8B" w:rsidRPr="00452E8B" w:rsidRDefault="00452E8B" w:rsidP="00452E8B">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452E8B">
        <w:rPr>
          <w:rFonts w:ascii="Helvetica" w:eastAsia="Times New Roman" w:hAnsi="Helvetica" w:cs="Times New Roman"/>
          <w:b/>
          <w:bCs/>
          <w:i/>
          <w:iCs/>
          <w:color w:val="000000"/>
          <w:sz w:val="24"/>
          <w:szCs w:val="24"/>
          <w:lang w:eastAsia="id-ID" w:bidi="ar-SA"/>
        </w:rPr>
        <w:t>Peer Mentoring Circles</w:t>
      </w:r>
      <w:r w:rsidRPr="00452E8B">
        <w:rPr>
          <w:rFonts w:ascii="Helvetica" w:eastAsia="Times New Roman" w:hAnsi="Helvetica" w:cs="Times New Roman"/>
          <w:b/>
          <w:bCs/>
          <w:color w:val="000000"/>
          <w:sz w:val="24"/>
          <w:szCs w:val="24"/>
          <w:lang w:eastAsia="id-ID" w:bidi="ar-SA"/>
        </w:rPr>
        <w:t>: Belajar dari Sesama</w:t>
      </w:r>
      <w:r w:rsidRPr="00452E8B">
        <w:rPr>
          <w:rFonts w:ascii="Helvetica" w:eastAsia="Times New Roman" w:hAnsi="Helvetica" w:cs="Times New Roman"/>
          <w:color w:val="273540"/>
          <w:sz w:val="24"/>
          <w:szCs w:val="24"/>
          <w:lang w:eastAsia="id-ID" w:bidi="ar-SA"/>
        </w:rPr>
        <w:br/>
      </w:r>
      <w:r w:rsidRPr="00452E8B">
        <w:rPr>
          <w:rFonts w:ascii="Helvetica" w:eastAsia="Times New Roman" w:hAnsi="Helvetica" w:cs="Times New Roman"/>
          <w:color w:val="000000"/>
          <w:sz w:val="24"/>
          <w:szCs w:val="24"/>
          <w:lang w:eastAsia="id-ID" w:bidi="ar-SA"/>
        </w:rPr>
        <w:t>Bagi calon guru dalam PPG, bentuk komunitas belajar yang paling mudah diinisiasi adalah </w:t>
      </w:r>
      <w:r w:rsidRPr="00452E8B">
        <w:rPr>
          <w:rFonts w:ascii="Helvetica" w:eastAsia="Times New Roman" w:hAnsi="Helvetica" w:cs="Times New Roman"/>
          <w:i/>
          <w:iCs/>
          <w:color w:val="000000"/>
          <w:sz w:val="24"/>
          <w:szCs w:val="24"/>
          <w:lang w:eastAsia="id-ID" w:bidi="ar-SA"/>
        </w:rPr>
        <w:t>peer mentoring circle</w:t>
      </w:r>
      <w:r w:rsidRPr="00452E8B">
        <w:rPr>
          <w:rFonts w:ascii="Helvetica" w:eastAsia="Times New Roman" w:hAnsi="Helvetica" w:cs="Times New Roman"/>
          <w:color w:val="000000"/>
          <w:sz w:val="24"/>
          <w:szCs w:val="24"/>
          <w:lang w:eastAsia="id-ID" w:bidi="ar-SA"/>
        </w:rPr>
        <w:t> yakni kelompok kecil tiga hingga lima rekan PPG yang secara setara dan bergantian berbagi tantangan, memberikan umpan balik konstruktif, dan saling mendukung dalam proses tumbuh. Prenger, Poortman, dan Handelzalts (2019) menemukan bahwa keterlibatan dalam komunitas belajar semacam ini memberikan dampak positif tidak hanya pada kompetensi pedagogis, tetapi juga pada kepuasan dan ketahanan profesional sebagai bekal berharga di tahun-tahun awal karier.</w:t>
      </w:r>
    </w:p>
    <w:p w14:paraId="1A1198DD"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489"/>
    <w:rsid w:val="001623E2"/>
    <w:rsid w:val="00212489"/>
    <w:rsid w:val="002E564A"/>
    <w:rsid w:val="003A567C"/>
    <w:rsid w:val="00452E8B"/>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0CC85E-4642-40AD-9E57-AAC66D50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3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2026-08-08T11:56:00Z</dcterms:created>
  <dcterms:modified xsi:type="dcterms:W3CDTF">2026-08-08T11:56:00Z</dcterms:modified>
</cp:coreProperties>
</file>