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594F9">
      <w:pPr>
        <w:keepNext w:val="0"/>
        <w:spacing w:before="0" w:after="300" w:line="320" w:lineRule="auto"/>
        <w:jc w:val="center"/>
      </w:pPr>
      <w:r>
        <w:rPr>
          <w:rFonts w:ascii="Times New Roman" w:hAnsi="Times New Roman" w:eastAsia="Times New Roman" w:cs="Times New Roman"/>
          <w:b/>
          <w:bCs/>
          <w:i w:val="0"/>
          <w:iCs w:val="0"/>
          <w:sz w:val="30"/>
          <w:szCs w:val="30"/>
        </w:rPr>
        <w:t>Topical Virgin Coconut Oil Enhances Type I Collagen Expression in Second-Degree Burn Wounds: An Experimental Study in Rattus novergicus</w:t>
      </w:r>
    </w:p>
    <w:p w14:paraId="488F85F8">
      <w:pPr>
        <w:spacing w:before="0" w:after="200" w:line="276" w:lineRule="auto"/>
        <w:jc w:val="center"/>
        <w:rPr>
          <w:rFonts w:hint="default"/>
          <w:vertAlign w:val="superscript"/>
          <w:lang w:val="en-US"/>
        </w:rPr>
      </w:pPr>
      <w:r>
        <w:rPr>
          <w:rFonts w:ascii="Times New Roman" w:hAnsi="Times New Roman" w:eastAsia="Times New Roman" w:cs="Times New Roman"/>
          <w:b/>
          <w:bCs/>
          <w:i w:val="0"/>
          <w:iCs w:val="0"/>
          <w:sz w:val="22"/>
          <w:szCs w:val="22"/>
        </w:rPr>
        <w:t>Tuti Lestari</w:t>
      </w:r>
      <w:r>
        <w:rPr>
          <w:rFonts w:ascii="Times New Roman" w:hAnsi="Times New Roman" w:eastAsia="Times New Roman" w:cs="Times New Roman"/>
          <w:b/>
          <w:bCs/>
          <w:i w:val="0"/>
          <w:iCs w:val="0"/>
          <w:sz w:val="22"/>
          <w:szCs w:val="22"/>
          <w:vertAlign w:val="superscript"/>
        </w:rPr>
        <w:t>1*</w:t>
      </w:r>
      <w:r>
        <w:rPr>
          <w:rFonts w:ascii="Times New Roman" w:hAnsi="Times New Roman" w:eastAsia="Times New Roman" w:cs="Times New Roman"/>
          <w:b w:val="0"/>
          <w:bCs w:val="0"/>
          <w:i w:val="0"/>
          <w:iCs w:val="0"/>
          <w:sz w:val="22"/>
          <w:szCs w:val="22"/>
        </w:rPr>
        <w:t xml:space="preserve">, </w:t>
      </w:r>
      <w:r>
        <w:rPr>
          <w:rFonts w:ascii="Times New Roman" w:hAnsi="Times New Roman" w:eastAsia="Times New Roman" w:cs="Times New Roman"/>
          <w:b/>
          <w:bCs/>
          <w:i w:val="0"/>
          <w:iCs w:val="0"/>
          <w:sz w:val="22"/>
          <w:szCs w:val="22"/>
        </w:rPr>
        <w:t>Sumaryati Syukur</w:t>
      </w:r>
      <w:r>
        <w:rPr>
          <w:rFonts w:hint="default" w:cs="Times New Roman"/>
          <w:b/>
          <w:bCs/>
          <w:i w:val="0"/>
          <w:iCs w:val="0"/>
          <w:sz w:val="22"/>
          <w:szCs w:val="22"/>
          <w:vertAlign w:val="superscript"/>
          <w:lang w:val="en-US"/>
        </w:rPr>
        <w:t>2</w:t>
      </w:r>
      <w:r>
        <w:rPr>
          <w:rFonts w:ascii="Times New Roman" w:hAnsi="Times New Roman" w:eastAsia="Times New Roman" w:cs="Times New Roman"/>
          <w:b w:val="0"/>
          <w:bCs w:val="0"/>
          <w:i w:val="0"/>
          <w:iCs w:val="0"/>
          <w:sz w:val="22"/>
          <w:szCs w:val="22"/>
        </w:rPr>
        <w:t xml:space="preserve">, </w:t>
      </w:r>
      <w:r>
        <w:rPr>
          <w:rFonts w:ascii="Times New Roman" w:hAnsi="Times New Roman" w:eastAsia="Times New Roman" w:cs="Times New Roman"/>
          <w:b/>
          <w:bCs/>
          <w:i w:val="0"/>
          <w:iCs w:val="0"/>
          <w:sz w:val="22"/>
          <w:szCs w:val="22"/>
        </w:rPr>
        <w:t>Gusti Revilla</w:t>
      </w:r>
      <w:r>
        <w:rPr>
          <w:rFonts w:hint="default" w:cs="Times New Roman"/>
          <w:b/>
          <w:bCs/>
          <w:i w:val="0"/>
          <w:iCs w:val="0"/>
          <w:sz w:val="22"/>
          <w:szCs w:val="22"/>
          <w:vertAlign w:val="superscript"/>
          <w:lang w:val="en-US"/>
        </w:rPr>
        <w:t>1</w:t>
      </w:r>
      <w:r>
        <w:rPr>
          <w:rFonts w:ascii="Times New Roman" w:hAnsi="Times New Roman" w:eastAsia="Times New Roman" w:cs="Times New Roman"/>
          <w:b w:val="0"/>
          <w:bCs w:val="0"/>
          <w:i w:val="0"/>
          <w:iCs w:val="0"/>
          <w:sz w:val="22"/>
          <w:szCs w:val="22"/>
        </w:rPr>
        <w:t xml:space="preserve">, </w:t>
      </w:r>
      <w:r>
        <w:rPr>
          <w:rFonts w:ascii="Times New Roman" w:hAnsi="Times New Roman" w:eastAsia="Times New Roman" w:cs="Times New Roman"/>
          <w:b/>
          <w:bCs/>
          <w:i w:val="0"/>
          <w:iCs w:val="0"/>
          <w:sz w:val="22"/>
          <w:szCs w:val="22"/>
        </w:rPr>
        <w:t>Rauza Sukma Rita</w:t>
      </w:r>
      <w:r>
        <w:rPr>
          <w:rFonts w:hint="default" w:cs="Times New Roman"/>
          <w:b/>
          <w:bCs/>
          <w:i w:val="0"/>
          <w:iCs w:val="0"/>
          <w:sz w:val="22"/>
          <w:szCs w:val="22"/>
          <w:vertAlign w:val="superscript"/>
          <w:lang w:val="en-US"/>
        </w:rPr>
        <w:t>3</w:t>
      </w:r>
    </w:p>
    <w:p w14:paraId="595E51DB">
      <w:pPr>
        <w:spacing w:before="0" w:after="60" w:line="276" w:lineRule="auto"/>
        <w:jc w:val="center"/>
      </w:pPr>
      <w:r>
        <w:rPr>
          <w:rFonts w:ascii="Times New Roman" w:hAnsi="Times New Roman" w:eastAsia="Times New Roman" w:cs="Times New Roman"/>
          <w:b w:val="0"/>
          <w:bCs w:val="0"/>
          <w:i w:val="0"/>
          <w:iCs w:val="0"/>
          <w:sz w:val="19"/>
          <w:szCs w:val="19"/>
        </w:rPr>
        <w:t>1 D</w:t>
      </w:r>
      <w:r>
        <w:rPr>
          <w:rFonts w:hint="default" w:cs="Times New Roman"/>
          <w:b w:val="0"/>
          <w:bCs w:val="0"/>
          <w:i w:val="0"/>
          <w:iCs w:val="0"/>
          <w:sz w:val="19"/>
          <w:szCs w:val="19"/>
          <w:lang w:val="en-US"/>
        </w:rPr>
        <w:t>epartment of Anatomy</w:t>
      </w:r>
      <w:r>
        <w:rPr>
          <w:rFonts w:ascii="Times New Roman" w:hAnsi="Times New Roman" w:eastAsia="Times New Roman" w:cs="Times New Roman"/>
          <w:b w:val="0"/>
          <w:bCs w:val="0"/>
          <w:i w:val="0"/>
          <w:iCs w:val="0"/>
          <w:sz w:val="19"/>
          <w:szCs w:val="19"/>
        </w:rPr>
        <w:t>, Faculty of Medicine, Universitas Andalas, Padang, Indonesia</w:t>
      </w:r>
    </w:p>
    <w:p w14:paraId="3BE072C0">
      <w:pPr>
        <w:spacing w:before="0" w:after="60" w:line="276" w:lineRule="auto"/>
        <w:jc w:val="center"/>
      </w:pPr>
      <w:r>
        <w:rPr>
          <w:rFonts w:ascii="Times New Roman" w:hAnsi="Times New Roman" w:eastAsia="Times New Roman" w:cs="Times New Roman"/>
          <w:b w:val="0"/>
          <w:bCs w:val="0"/>
          <w:i w:val="0"/>
          <w:iCs w:val="0"/>
          <w:sz w:val="19"/>
          <w:szCs w:val="19"/>
        </w:rPr>
        <w:t>2 Department of</w:t>
      </w:r>
      <w:r>
        <w:rPr>
          <w:rFonts w:hint="default" w:cs="Times New Roman"/>
          <w:b w:val="0"/>
          <w:bCs w:val="0"/>
          <w:i w:val="0"/>
          <w:iCs w:val="0"/>
          <w:sz w:val="19"/>
          <w:szCs w:val="19"/>
          <w:lang w:val="en-US"/>
        </w:rPr>
        <w:t xml:space="preserve"> </w:t>
      </w:r>
      <w:r>
        <w:rPr>
          <w:rFonts w:ascii="Times New Roman" w:hAnsi="Times New Roman" w:eastAsia="Times New Roman" w:cs="Times New Roman"/>
          <w:b w:val="0"/>
          <w:bCs w:val="0"/>
          <w:i w:val="0"/>
          <w:iCs w:val="0"/>
          <w:sz w:val="19"/>
          <w:szCs w:val="19"/>
        </w:rPr>
        <w:t>Chemistry, Faculty of Mathematics and Natural Sciences , Universitas Andalas, Padang, Indonesia</w:t>
      </w:r>
    </w:p>
    <w:p w14:paraId="683ECE40">
      <w:pPr>
        <w:spacing w:before="0" w:after="200" w:line="276" w:lineRule="auto"/>
        <w:jc w:val="center"/>
      </w:pPr>
      <w:r>
        <w:rPr>
          <w:rFonts w:ascii="Times New Roman" w:hAnsi="Times New Roman" w:eastAsia="Times New Roman" w:cs="Times New Roman"/>
          <w:b w:val="0"/>
          <w:bCs w:val="0"/>
          <w:i w:val="0"/>
          <w:iCs w:val="0"/>
          <w:sz w:val="19"/>
          <w:szCs w:val="19"/>
        </w:rPr>
        <w:t xml:space="preserve">3 Department of </w:t>
      </w:r>
      <w:r>
        <w:rPr>
          <w:rFonts w:hint="default" w:cs="Times New Roman"/>
          <w:b w:val="0"/>
          <w:bCs w:val="0"/>
          <w:i w:val="0"/>
          <w:iCs w:val="0"/>
          <w:sz w:val="19"/>
          <w:szCs w:val="19"/>
          <w:lang w:val="en-US"/>
        </w:rPr>
        <w:t>Biochemistry</w:t>
      </w:r>
      <w:r>
        <w:rPr>
          <w:rFonts w:ascii="Times New Roman" w:hAnsi="Times New Roman" w:eastAsia="Times New Roman" w:cs="Times New Roman"/>
          <w:b w:val="0"/>
          <w:bCs w:val="0"/>
          <w:i w:val="0"/>
          <w:iCs w:val="0"/>
          <w:sz w:val="19"/>
          <w:szCs w:val="19"/>
        </w:rPr>
        <w:t>, Universitas Andalas, Padang, Indonesia</w:t>
      </w:r>
    </w:p>
    <w:p w14:paraId="78F37463">
      <w:pPr>
        <w:spacing w:before="0" w:after="400" w:line="276" w:lineRule="auto"/>
        <w:jc w:val="center"/>
      </w:pPr>
      <w:r>
        <w:rPr>
          <w:rFonts w:ascii="Times New Roman" w:hAnsi="Times New Roman" w:eastAsia="Times New Roman" w:cs="Times New Roman"/>
          <w:b w:val="0"/>
          <w:bCs w:val="0"/>
          <w:i w:val="0"/>
          <w:iCs w:val="0"/>
          <w:sz w:val="19"/>
          <w:szCs w:val="19"/>
        </w:rPr>
        <w:t xml:space="preserve">* Corresponding author: Tuti Lestari — </w:t>
      </w:r>
      <w:r>
        <w:rPr>
          <w:rFonts w:ascii="Times New Roman" w:hAnsi="Times New Roman" w:eastAsia="Times New Roman" w:cs="Times New Roman"/>
          <w:b w:val="0"/>
          <w:bCs w:val="0"/>
          <w:i/>
          <w:iCs/>
          <w:sz w:val="19"/>
          <w:szCs w:val="19"/>
        </w:rPr>
        <w:t>[</w:t>
      </w:r>
      <w:r>
        <w:rPr>
          <w:rFonts w:hint="default" w:cs="Times New Roman"/>
          <w:b w:val="0"/>
          <w:bCs w:val="0"/>
          <w:i/>
          <w:iCs/>
          <w:sz w:val="19"/>
          <w:szCs w:val="19"/>
          <w:lang w:val="en-US"/>
        </w:rPr>
        <w:t>tutilestari@med.unand.ac.id</w:t>
      </w:r>
      <w:r>
        <w:rPr>
          <w:rFonts w:ascii="Times New Roman" w:hAnsi="Times New Roman" w:eastAsia="Times New Roman" w:cs="Times New Roman"/>
          <w:b w:val="0"/>
          <w:bCs w:val="0"/>
          <w:i/>
          <w:iCs/>
          <w:sz w:val="19"/>
          <w:szCs w:val="19"/>
        </w:rPr>
        <w:t>]</w:t>
      </w:r>
    </w:p>
    <w:p w14:paraId="6B6F7DF3">
      <w:pPr>
        <w:pStyle w:val="3"/>
        <w:spacing w:before="260" w:after="160"/>
      </w:pPr>
      <w:r>
        <w:rPr>
          <w:rFonts w:ascii="Times New Roman" w:hAnsi="Times New Roman" w:eastAsia="Times New Roman" w:cs="Times New Roman"/>
          <w:b/>
          <w:bCs/>
          <w:i/>
          <w:iCs/>
          <w:sz w:val="23"/>
          <w:szCs w:val="23"/>
        </w:rPr>
        <w:t>ABSTRACT</w:t>
      </w:r>
    </w:p>
    <w:p w14:paraId="05F14FCF">
      <w:pPr>
        <w:keepNext w:val="0"/>
        <w:spacing w:before="0" w:after="120" w:line="276" w:lineRule="auto"/>
        <w:jc w:val="both"/>
      </w:pPr>
      <w:r>
        <w:rPr>
          <w:rFonts w:ascii="Times New Roman" w:hAnsi="Times New Roman" w:eastAsia="Times New Roman" w:cs="Times New Roman"/>
          <w:b w:val="0"/>
          <w:bCs w:val="0"/>
          <w:i w:val="0"/>
          <w:iCs w:val="0"/>
          <w:sz w:val="22"/>
          <w:szCs w:val="22"/>
        </w:rPr>
        <w:t>Background: Second-degree (partial-thickness) burn injury remains a major global health problem, and no currently available topical burn dressing fulfils all criteria of an ideal wound care agent. Virgin coconut oil (VCO) contains medium-chain and unsaturated fatty acids with antimicrobial, antioxidant and anti-inflammatory properties, and has been proposed as a candidate topical burn therapy, but its effect on dermal type I collagen deposition — the structural hallmark of wound maturation — has not been well characterised.</w:t>
      </w:r>
    </w:p>
    <w:p w14:paraId="67ED5902">
      <w:pPr>
        <w:keepNext w:val="0"/>
        <w:spacing w:before="0" w:after="120" w:line="276" w:lineRule="auto"/>
        <w:jc w:val="both"/>
      </w:pPr>
      <w:r>
        <w:rPr>
          <w:rFonts w:ascii="Times New Roman" w:hAnsi="Times New Roman" w:eastAsia="Times New Roman" w:cs="Times New Roman"/>
          <w:b w:val="0"/>
          <w:bCs w:val="0"/>
          <w:i w:val="0"/>
          <w:iCs w:val="0"/>
          <w:sz w:val="22"/>
          <w:szCs w:val="22"/>
        </w:rPr>
        <w:t>Objective: To analyse the effect of topical VCO on type I collagen expression in the granulation tissue of second-degree burn wounds, using untreated wounds as a negative control and human amnion membrane, an established biological dressing, as a positive control.</w:t>
      </w:r>
    </w:p>
    <w:p w14:paraId="07285CDA">
      <w:pPr>
        <w:keepNext w:val="0"/>
        <w:spacing w:before="0" w:after="120" w:line="276" w:lineRule="auto"/>
        <w:jc w:val="both"/>
      </w:pPr>
      <w:r>
        <w:rPr>
          <w:rFonts w:ascii="Times New Roman" w:hAnsi="Times New Roman" w:eastAsia="Times New Roman" w:cs="Times New Roman"/>
          <w:b w:val="0"/>
          <w:bCs w:val="0"/>
          <w:i w:val="0"/>
          <w:iCs w:val="0"/>
          <w:sz w:val="22"/>
          <w:szCs w:val="22"/>
        </w:rPr>
        <w:t>Methods: This experimental study used a post-test only, randomised group-comparison design in male Wistar rats (Rattus novergicus). A standardised superficial second-degree burn was created on the dorsal skin using a heated 2 cm metal disc (100°C, 15 seconds). Animals were allocated to an untreated control group (K), a topical VCO group (V, 0.5 mL twice daily), and a topical human amnion membrane group (A) (n = 9 per group at allocation). On day 14, dorsal skin biopsies were processed for haematoxylin–eosin staining and immunohistochemistry against collagen type I. Inflammatory cell density and the percentage area of collagen-positive staining were quantified using ImageJ software and compared with one-way ANOVA and Tukey's honestly significant difference (HSD) post hoc test (α = 0.05).</w:t>
      </w:r>
    </w:p>
    <w:p w14:paraId="1A56A067">
      <w:pPr>
        <w:keepNext w:val="0"/>
        <w:spacing w:before="0" w:after="120" w:line="276" w:lineRule="auto"/>
        <w:jc w:val="both"/>
      </w:pPr>
      <w:r>
        <w:rPr>
          <w:rFonts w:ascii="Times New Roman" w:hAnsi="Times New Roman" w:eastAsia="Times New Roman" w:cs="Times New Roman"/>
          <w:b w:val="0"/>
          <w:bCs w:val="0"/>
          <w:i w:val="0"/>
          <w:iCs w:val="0"/>
          <w:sz w:val="22"/>
          <w:szCs w:val="22"/>
        </w:rPr>
        <w:t>Results: Topical VCO significantly increased type I collagen expression compared with untreated control (44.42 ± 6.52% vs 33.16 ± 9.35% area; Tukey p &lt; 0.0001), and was not significantly different from amnion (48.79 ± 9.52% area; p = 0.184). Inflammatory cell density in the VCO group (103.63 ± 30.75 cells) was significantly lower than in both the control (131.57 ± 30.85 cells; p = 0.0004) and the amnion group (144.43 ± 26.41 cells; p &lt; 0.0001), while collagen deposition remained high. All VCO-treated animals survived to day 14, whereas two animals died by day 4 in each of the control and amnion groups.</w:t>
      </w:r>
    </w:p>
    <w:p w14:paraId="6D467329">
      <w:pPr>
        <w:keepNext w:val="0"/>
        <w:spacing w:before="0" w:after="120" w:line="276" w:lineRule="auto"/>
        <w:jc w:val="both"/>
      </w:pPr>
      <w:r>
        <w:rPr>
          <w:rFonts w:ascii="Times New Roman" w:hAnsi="Times New Roman" w:eastAsia="Times New Roman" w:cs="Times New Roman"/>
          <w:b w:val="0"/>
          <w:bCs w:val="0"/>
          <w:i w:val="0"/>
          <w:iCs w:val="0"/>
          <w:sz w:val="22"/>
          <w:szCs w:val="22"/>
        </w:rPr>
        <w:t>Conclusion: Topical VCO promotes type I collagen deposition in second-degree burn wounds to a degree comparable with amnion, while producing a lower inflammatory cell burden than either the untreated or amnion-treated wounds. This pattern suggests that VCO supports granulation tissue maturation through a comparatively anti-inflammatory, fibroblast-driven route, supporting its further development as a low-cost topical agent for partial-thickness burn care.</w:t>
      </w:r>
    </w:p>
    <w:p w14:paraId="75546105">
      <w:pPr>
        <w:spacing w:before="0" w:after="300" w:line="276" w:lineRule="auto"/>
        <w:jc w:val="both"/>
      </w:pPr>
      <w:r>
        <w:rPr>
          <w:rFonts w:ascii="Times New Roman" w:hAnsi="Times New Roman" w:eastAsia="Times New Roman" w:cs="Times New Roman"/>
          <w:b/>
          <w:bCs/>
          <w:i w:val="0"/>
          <w:iCs w:val="0"/>
          <w:sz w:val="22"/>
          <w:szCs w:val="22"/>
        </w:rPr>
        <w:t xml:space="preserve">Keywords: </w:t>
      </w:r>
      <w:r>
        <w:rPr>
          <w:rFonts w:ascii="Times New Roman" w:hAnsi="Times New Roman" w:eastAsia="Times New Roman" w:cs="Times New Roman"/>
          <w:b w:val="0"/>
          <w:bCs w:val="0"/>
          <w:i w:val="0"/>
          <w:iCs w:val="0"/>
          <w:sz w:val="22"/>
          <w:szCs w:val="22"/>
        </w:rPr>
        <w:t xml:space="preserve">virgin coconut oil; type I collagen; burn wound; wound healing; immunohistochemistry; </w:t>
      </w:r>
      <w:r>
        <w:rPr>
          <w:rFonts w:ascii="Times New Roman" w:hAnsi="Times New Roman" w:eastAsia="Times New Roman" w:cs="Times New Roman"/>
          <w:b w:val="0"/>
          <w:bCs w:val="0"/>
          <w:i/>
          <w:iCs/>
          <w:sz w:val="22"/>
          <w:szCs w:val="22"/>
        </w:rPr>
        <w:t>Rattus novergicus</w:t>
      </w:r>
    </w:p>
    <w:p w14:paraId="3375BA3A">
      <w:pPr>
        <w:pStyle w:val="3"/>
        <w:spacing w:before="260" w:after="160"/>
      </w:pPr>
      <w:r>
        <w:rPr>
          <w:rFonts w:ascii="Times New Roman" w:hAnsi="Times New Roman" w:eastAsia="Times New Roman" w:cs="Times New Roman"/>
          <w:b/>
          <w:bCs/>
          <w:i/>
          <w:iCs/>
          <w:sz w:val="23"/>
          <w:szCs w:val="23"/>
        </w:rPr>
        <w:t>ABSTRAK</w:t>
      </w:r>
    </w:p>
    <w:p w14:paraId="23EE1643">
      <w:pPr>
        <w:keepNext w:val="0"/>
        <w:spacing w:before="0" w:after="120" w:line="276" w:lineRule="auto"/>
        <w:jc w:val="both"/>
      </w:pPr>
      <w:r>
        <w:rPr>
          <w:rFonts w:ascii="Times New Roman" w:hAnsi="Times New Roman" w:eastAsia="Times New Roman" w:cs="Times New Roman"/>
          <w:b w:val="0"/>
          <w:bCs w:val="0"/>
          <w:i w:val="0"/>
          <w:iCs w:val="0"/>
          <w:sz w:val="22"/>
          <w:szCs w:val="22"/>
        </w:rPr>
        <w:t>Latar belakang: Luka bakar derajat II (partial-thickness) masih menjadi masalah kesehatan global yang serius, dan hingga saat ini belum ditemukan sediaan obat topikal luka bakar yang memenuhi seluruh kriteria ideal. Virgin coconut oil (VCO) mengandung asam lemak rantai sedang dan tak jenuh dengan sifat antimikroba, antioksidan, dan anti-inflamasi, sehingga berpotensi dikembangkan sebagai terapi topikal luka bakar, namun pengaruhnya terhadap deposisi kolagen tipe I—penanda utama maturasi luka—belum banyak dikarakterisasi.</w:t>
      </w:r>
    </w:p>
    <w:p w14:paraId="19128761">
      <w:pPr>
        <w:keepNext w:val="0"/>
        <w:spacing w:before="0" w:after="120" w:line="276" w:lineRule="auto"/>
        <w:jc w:val="both"/>
      </w:pPr>
      <w:r>
        <w:rPr>
          <w:rFonts w:ascii="Times New Roman" w:hAnsi="Times New Roman" w:eastAsia="Times New Roman" w:cs="Times New Roman"/>
          <w:b w:val="0"/>
          <w:bCs w:val="0"/>
          <w:i w:val="0"/>
          <w:iCs w:val="0"/>
          <w:sz w:val="22"/>
          <w:szCs w:val="22"/>
        </w:rPr>
        <w:t>Tujuan: Menganalisis pengaruh pemberian VCO topikal terhadap ekspresi kolagen tipe I pada jaringan granulasi luka bakar derajat II, dengan kelompok tanpa perlakuan sebagai kontrol negatif dan membran amnion manusia sebagai kontrol positif.</w:t>
      </w:r>
    </w:p>
    <w:p w14:paraId="0E412AC2">
      <w:pPr>
        <w:keepNext w:val="0"/>
        <w:spacing w:before="0" w:after="120" w:line="276" w:lineRule="auto"/>
        <w:jc w:val="both"/>
      </w:pPr>
      <w:r>
        <w:rPr>
          <w:rFonts w:ascii="Times New Roman" w:hAnsi="Times New Roman" w:eastAsia="Times New Roman" w:cs="Times New Roman"/>
          <w:b w:val="0"/>
          <w:bCs w:val="0"/>
          <w:i w:val="0"/>
          <w:iCs w:val="0"/>
          <w:sz w:val="22"/>
          <w:szCs w:val="22"/>
        </w:rPr>
        <w:t>Metode: Penelitian eksperimental ini menggunakan rancangan post-test only dengan kelompok pembanding pada tikus putih jantan galur Wistar (Rattus novergicus). Luka bakar derajat II superfisial dibuat pada kulit dorsal menggunakan lempeng logam berdiameter 2 cm yang dipanaskan pada suhu 100°C selama 15 detik. Hewan coba dibagi menjadi kelompok kontrol tanpa perlakuan (K), kelompok VCO topikal (V, 0,5 mL dua kali sehari), dan kelompok membran amnion topikal (A), masing-masing 9 ekor pada awal alokasi. Pada hari ke-14 dilakukan biopsi kulit dorsal untuk pewarnaan hematoksilin-eosin dan imunohistokimia kolagen tipe I. Densitas sel radang dan persentase luas area kolagen positif dikuantifikasi menggunakan program ImageJ, dianalisis dengan ANOVA satu arah dan uji lanjut Tukey HSD (α = 0,05).</w:t>
      </w:r>
    </w:p>
    <w:p w14:paraId="4A5F8F0F">
      <w:pPr>
        <w:keepNext w:val="0"/>
        <w:spacing w:before="0" w:after="120" w:line="276" w:lineRule="auto"/>
        <w:jc w:val="both"/>
      </w:pPr>
      <w:r>
        <w:rPr>
          <w:rFonts w:ascii="Times New Roman" w:hAnsi="Times New Roman" w:eastAsia="Times New Roman" w:cs="Times New Roman"/>
          <w:b w:val="0"/>
          <w:bCs w:val="0"/>
          <w:i w:val="0"/>
          <w:iCs w:val="0"/>
          <w:sz w:val="22"/>
          <w:szCs w:val="22"/>
        </w:rPr>
        <w:t>Hasil: Pemberian VCO topikal secara signifikan meningkatkan ekspresi kolagen tipe I dibandingkan kontrol (44,42 ± 6,52% vs 33,16 ± 9,35% area; Tukey p &lt; 0,0001), dan tidak berbeda signifikan dengan kelompok amnion (48,79 ± 9,52% area; p = 0,184). Densitas sel radang pada kelompok VCO (103,63 ± 30,75 sel) secara signifikan lebih rendah dibandingkan kontrol (131,57 ± 30,85 sel; p = 0,0004) maupun amnion (144,43 ± 26,41 sel; p &lt; 0,0001), sementara deposisi kolagen tetap tinggi. Seluruh hewan coba kelompok VCO bertahan hidup hingga hari ke-14, sedangkan pada kelompok kontrol dan amnion masing-masing dua ekor mati pada hari ke-4.</w:t>
      </w:r>
    </w:p>
    <w:p w14:paraId="4D0B9988">
      <w:pPr>
        <w:keepNext w:val="0"/>
        <w:spacing w:before="0" w:after="120" w:line="276" w:lineRule="auto"/>
        <w:jc w:val="both"/>
      </w:pPr>
      <w:r>
        <w:rPr>
          <w:rFonts w:ascii="Times New Roman" w:hAnsi="Times New Roman" w:eastAsia="Times New Roman" w:cs="Times New Roman"/>
          <w:b w:val="0"/>
          <w:bCs w:val="0"/>
          <w:i w:val="0"/>
          <w:iCs w:val="0"/>
          <w:sz w:val="22"/>
          <w:szCs w:val="22"/>
        </w:rPr>
        <w:t>Kesimpulan: VCO topikal meningkatkan deposisi kolagen tipe I pada luka bakar derajat II setara dengan amnion, dengan beban sel radang yang lebih rendah dibandingkan kedua kelompok pembanding. Pola ini menunjukkan bahwa VCO mendukung maturasi jaringan granulasi melalui jalur yang relatif anti-inflamasi dan berbasis proliferasi fibroblast, sehingga berpotensi dikembangkan sebagai sediaan topikal luka bakar derajat II yang murah dan mudah diaplikasikan.</w:t>
      </w:r>
    </w:p>
    <w:p w14:paraId="0C9732F2">
      <w:pPr>
        <w:spacing w:before="0" w:after="300" w:line="276" w:lineRule="auto"/>
        <w:jc w:val="both"/>
      </w:pPr>
      <w:r>
        <w:rPr>
          <w:rFonts w:ascii="Times New Roman" w:hAnsi="Times New Roman" w:eastAsia="Times New Roman" w:cs="Times New Roman"/>
          <w:b/>
          <w:bCs/>
          <w:i w:val="0"/>
          <w:iCs w:val="0"/>
          <w:sz w:val="22"/>
          <w:szCs w:val="22"/>
        </w:rPr>
        <w:t xml:space="preserve">Kata kunci: </w:t>
      </w:r>
      <w:r>
        <w:rPr>
          <w:rFonts w:ascii="Times New Roman" w:hAnsi="Times New Roman" w:eastAsia="Times New Roman" w:cs="Times New Roman"/>
          <w:b w:val="0"/>
          <w:bCs w:val="0"/>
          <w:i w:val="0"/>
          <w:iCs w:val="0"/>
          <w:sz w:val="22"/>
          <w:szCs w:val="22"/>
        </w:rPr>
        <w:t xml:space="preserve">virgin coconut oil; kolagen tipe I; luka bakar; penyembuhan luka; imunohistokimia; </w:t>
      </w:r>
      <w:r>
        <w:rPr>
          <w:rFonts w:ascii="Times New Roman" w:hAnsi="Times New Roman" w:eastAsia="Times New Roman" w:cs="Times New Roman"/>
          <w:b w:val="0"/>
          <w:bCs w:val="0"/>
          <w:i/>
          <w:iCs/>
          <w:sz w:val="22"/>
          <w:szCs w:val="22"/>
        </w:rPr>
        <w:t>Rattus novergicus</w:t>
      </w:r>
    </w:p>
    <w:p w14:paraId="5EA016DC">
      <w:pPr>
        <w:pStyle w:val="2"/>
        <w:spacing w:before="360" w:after="200"/>
      </w:pPr>
      <w:r>
        <w:rPr>
          <w:rFonts w:ascii="Times New Roman" w:hAnsi="Times New Roman" w:eastAsia="Times New Roman" w:cs="Times New Roman"/>
          <w:b/>
          <w:bCs/>
          <w:caps w:val="0"/>
          <w:sz w:val="26"/>
          <w:szCs w:val="26"/>
        </w:rPr>
        <w:t>1. Introduction</w:t>
      </w:r>
    </w:p>
    <w:p w14:paraId="2F4B810C">
      <w:pPr>
        <w:spacing w:before="0" w:after="200" w:line="276" w:lineRule="auto"/>
        <w:jc w:val="both"/>
      </w:pPr>
      <w:r>
        <w:rPr>
          <w:rFonts w:ascii="Times New Roman" w:hAnsi="Times New Roman" w:eastAsia="Times New Roman" w:cs="Times New Roman"/>
          <w:b w:val="0"/>
          <w:bCs w:val="0"/>
          <w:i w:val="0"/>
          <w:iCs w:val="0"/>
          <w:sz w:val="22"/>
          <w:szCs w:val="22"/>
        </w:rPr>
        <w:t xml:space="preserve">Burn injury remains one of the most serious causes of trauma-related morbidity and mortality worldwide, disproportionately affecting low- and middle-income countries </w:t>
      </w:r>
      <w:r>
        <w:rPr>
          <w:rFonts w:ascii="Times New Roman" w:hAnsi="Times New Roman" w:eastAsia="Times New Roman" w:cs="Times New Roman"/>
          <w:b w:val="0"/>
          <w:bCs w:val="0"/>
          <w:i w:val="0"/>
          <w:iCs w:val="0"/>
          <w:sz w:val="16"/>
          <w:szCs w:val="16"/>
          <w:vertAlign w:val="superscript"/>
        </w:rPr>
        <w:t>[1]</w:t>
      </w:r>
      <w:r>
        <w:rPr>
          <w:rFonts w:ascii="Times New Roman" w:hAnsi="Times New Roman" w:eastAsia="Times New Roman" w:cs="Times New Roman"/>
          <w:b w:val="0"/>
          <w:bCs w:val="0"/>
          <w:i w:val="0"/>
          <w:iCs w:val="0"/>
          <w:sz w:val="22"/>
          <w:szCs w:val="22"/>
        </w:rPr>
        <w:t xml:space="preserve">. The World Health Organization estimates that more than 11 million people seek medical care for burns each year, and burns account for roughly 180,000 deaths annually </w:t>
      </w:r>
      <w:r>
        <w:rPr>
          <w:rFonts w:ascii="Times New Roman" w:hAnsi="Times New Roman" w:eastAsia="Times New Roman" w:cs="Times New Roman"/>
          <w:b w:val="0"/>
          <w:bCs w:val="0"/>
          <w:i w:val="0"/>
          <w:iCs w:val="0"/>
          <w:sz w:val="16"/>
          <w:szCs w:val="16"/>
          <w:vertAlign w:val="superscript"/>
        </w:rPr>
        <w:t>[2,3]</w:t>
      </w:r>
      <w:r>
        <w:rPr>
          <w:rFonts w:ascii="Times New Roman" w:hAnsi="Times New Roman" w:eastAsia="Times New Roman" w:cs="Times New Roman"/>
          <w:b w:val="0"/>
          <w:bCs w:val="0"/>
          <w:i w:val="0"/>
          <w:iCs w:val="0"/>
          <w:sz w:val="22"/>
          <w:szCs w:val="22"/>
        </w:rPr>
        <w:t xml:space="preserve">. In Indonesia, the true national incidence is difficult to establish because not all hospitals maintain dedicated burn units; as an illustration, one tertiary referral hospital recorded 605 burn admissions between 2007 and 2011 </w:t>
      </w:r>
      <w:r>
        <w:rPr>
          <w:rFonts w:ascii="Times New Roman" w:hAnsi="Times New Roman" w:eastAsia="Times New Roman" w:cs="Times New Roman"/>
          <w:b w:val="0"/>
          <w:bCs w:val="0"/>
          <w:i w:val="0"/>
          <w:iCs w:val="0"/>
          <w:sz w:val="16"/>
          <w:szCs w:val="16"/>
          <w:vertAlign w:val="superscript"/>
        </w:rPr>
        <w:t>[4]</w:t>
      </w:r>
      <w:r>
        <w:rPr>
          <w:rFonts w:ascii="Times New Roman" w:hAnsi="Times New Roman" w:eastAsia="Times New Roman" w:cs="Times New Roman"/>
          <w:b w:val="0"/>
          <w:bCs w:val="0"/>
          <w:i w:val="0"/>
          <w:iCs w:val="0"/>
          <w:sz w:val="22"/>
          <w:szCs w:val="22"/>
        </w:rPr>
        <w:t>.</w:t>
      </w:r>
    </w:p>
    <w:p w14:paraId="79AD4F56">
      <w:pPr>
        <w:spacing w:before="0" w:after="200" w:line="276" w:lineRule="auto"/>
        <w:jc w:val="both"/>
      </w:pPr>
      <w:r>
        <w:rPr>
          <w:rFonts w:ascii="Times New Roman" w:hAnsi="Times New Roman" w:eastAsia="Times New Roman" w:cs="Times New Roman"/>
          <w:b w:val="0"/>
          <w:bCs w:val="0"/>
          <w:i w:val="0"/>
          <w:iCs w:val="0"/>
          <w:sz w:val="22"/>
          <w:szCs w:val="22"/>
        </w:rPr>
        <w:t xml:space="preserve">Cutaneous wound healing proceeds through three overlapping phases — haemostasis/inflammation, proliferation, and maturation (remodelling) </w:t>
      </w:r>
      <w:r>
        <w:rPr>
          <w:rFonts w:ascii="Times New Roman" w:hAnsi="Times New Roman" w:eastAsia="Times New Roman" w:cs="Times New Roman"/>
          <w:b w:val="0"/>
          <w:bCs w:val="0"/>
          <w:i w:val="0"/>
          <w:iCs w:val="0"/>
          <w:sz w:val="16"/>
          <w:szCs w:val="16"/>
          <w:vertAlign w:val="superscript"/>
        </w:rPr>
        <w:t>[5,6]</w:t>
      </w:r>
      <w:r>
        <w:rPr>
          <w:rFonts w:ascii="Times New Roman" w:hAnsi="Times New Roman" w:eastAsia="Times New Roman" w:cs="Times New Roman"/>
          <w:b w:val="0"/>
          <w:bCs w:val="0"/>
          <w:i w:val="0"/>
          <w:iCs w:val="0"/>
          <w:sz w:val="22"/>
          <w:szCs w:val="22"/>
        </w:rPr>
        <w:t xml:space="preserve">. From approximately day 7 to day 14 after injury, collagen synthesis intensifies in parallel with granulation tissue formation and neovascularisation </w:t>
      </w:r>
      <w:r>
        <w:rPr>
          <w:rFonts w:ascii="Times New Roman" w:hAnsi="Times New Roman" w:eastAsia="Times New Roman" w:cs="Times New Roman"/>
          <w:b w:val="0"/>
          <w:bCs w:val="0"/>
          <w:i w:val="0"/>
          <w:iCs w:val="0"/>
          <w:sz w:val="16"/>
          <w:szCs w:val="16"/>
          <w:vertAlign w:val="superscript"/>
        </w:rPr>
        <w:t>[7]</w:t>
      </w:r>
      <w:r>
        <w:rPr>
          <w:rFonts w:ascii="Times New Roman" w:hAnsi="Times New Roman" w:eastAsia="Times New Roman" w:cs="Times New Roman"/>
          <w:b w:val="0"/>
          <w:bCs w:val="0"/>
          <w:i w:val="0"/>
          <w:iCs w:val="0"/>
          <w:sz w:val="22"/>
          <w:szCs w:val="22"/>
        </w:rPr>
        <w:t xml:space="preserve">. Fibroblasts recruited to the wound bed deposit extracellular matrix, of which type I collagen is the predominant structural component, marking the transition of the wound from a provisional, cell-rich granulation tissue toward a more organised, tensile dermal matrix </w:t>
      </w:r>
      <w:r>
        <w:rPr>
          <w:rFonts w:ascii="Times New Roman" w:hAnsi="Times New Roman" w:eastAsia="Times New Roman" w:cs="Times New Roman"/>
          <w:b w:val="0"/>
          <w:bCs w:val="0"/>
          <w:i w:val="0"/>
          <w:iCs w:val="0"/>
          <w:sz w:val="16"/>
          <w:szCs w:val="16"/>
          <w:vertAlign w:val="superscript"/>
        </w:rPr>
        <w:t>[7,8,9]</w:t>
      </w:r>
      <w:r>
        <w:rPr>
          <w:rFonts w:ascii="Times New Roman" w:hAnsi="Times New Roman" w:eastAsia="Times New Roman" w:cs="Times New Roman"/>
          <w:b w:val="0"/>
          <w:bCs w:val="0"/>
          <w:i w:val="0"/>
          <w:iCs w:val="0"/>
          <w:sz w:val="22"/>
          <w:szCs w:val="22"/>
        </w:rPr>
        <w:t xml:space="preserve">. Adequate but not excessive type I collagen deposition is therefore a key histological indicator of favourable wound maturation; insufficient collagen delays wound closure, whereas excessive or prolonged deposition promotes hypertrophic scarring </w:t>
      </w:r>
      <w:r>
        <w:rPr>
          <w:rFonts w:ascii="Times New Roman" w:hAnsi="Times New Roman" w:eastAsia="Times New Roman" w:cs="Times New Roman"/>
          <w:b w:val="0"/>
          <w:bCs w:val="0"/>
          <w:i w:val="0"/>
          <w:iCs w:val="0"/>
          <w:sz w:val="16"/>
          <w:szCs w:val="16"/>
          <w:vertAlign w:val="superscript"/>
        </w:rPr>
        <w:t>[10,11]</w:t>
      </w:r>
      <w:r>
        <w:rPr>
          <w:rFonts w:ascii="Times New Roman" w:hAnsi="Times New Roman" w:eastAsia="Times New Roman" w:cs="Times New Roman"/>
          <w:b w:val="0"/>
          <w:bCs w:val="0"/>
          <w:i w:val="0"/>
          <w:iCs w:val="0"/>
          <w:sz w:val="22"/>
          <w:szCs w:val="22"/>
        </w:rPr>
        <w:t>.</w:t>
      </w:r>
    </w:p>
    <w:p w14:paraId="5C177195">
      <w:pPr>
        <w:spacing w:before="0" w:after="200" w:line="276" w:lineRule="auto"/>
        <w:jc w:val="both"/>
      </w:pPr>
      <w:r>
        <w:rPr>
          <w:rFonts w:ascii="Times New Roman" w:hAnsi="Times New Roman" w:eastAsia="Times New Roman" w:cs="Times New Roman"/>
          <w:b w:val="0"/>
          <w:bCs w:val="0"/>
          <w:i w:val="0"/>
          <w:iCs w:val="0"/>
          <w:sz w:val="22"/>
          <w:szCs w:val="22"/>
        </w:rPr>
        <w:t xml:space="preserve">Superficial second-degree (partial-thickness) burns are conventionally managed with topical antimicrobial agents such as silver sulfadiazine, silver nitrate, or mafenide acetate </w:t>
      </w:r>
      <w:r>
        <w:rPr>
          <w:rFonts w:ascii="Times New Roman" w:hAnsi="Times New Roman" w:eastAsia="Times New Roman" w:cs="Times New Roman"/>
          <w:b w:val="0"/>
          <w:bCs w:val="0"/>
          <w:i w:val="0"/>
          <w:iCs w:val="0"/>
          <w:sz w:val="16"/>
          <w:szCs w:val="16"/>
          <w:vertAlign w:val="superscript"/>
        </w:rPr>
        <w:t>[12,13]</w:t>
      </w:r>
      <w:r>
        <w:rPr>
          <w:rFonts w:ascii="Times New Roman" w:hAnsi="Times New Roman" w:eastAsia="Times New Roman" w:cs="Times New Roman"/>
          <w:b w:val="0"/>
          <w:bCs w:val="0"/>
          <w:i w:val="0"/>
          <w:iCs w:val="0"/>
          <w:sz w:val="22"/>
          <w:szCs w:val="22"/>
        </w:rPr>
        <w:t xml:space="preserve">. These agents have well-documented limitations, including cytotoxicity to keratinocytes and fibroblasts, painful and frequent dressing changes, and the formation of thick scar tissue that complicates wound assessment </w:t>
      </w:r>
      <w:r>
        <w:rPr>
          <w:rFonts w:ascii="Times New Roman" w:hAnsi="Times New Roman" w:eastAsia="Times New Roman" w:cs="Times New Roman"/>
          <w:b w:val="0"/>
          <w:bCs w:val="0"/>
          <w:i w:val="0"/>
          <w:iCs w:val="0"/>
          <w:sz w:val="16"/>
          <w:szCs w:val="16"/>
          <w:vertAlign w:val="superscript"/>
        </w:rPr>
        <w:t>[12,14]</w:t>
      </w:r>
      <w:r>
        <w:rPr>
          <w:rFonts w:ascii="Times New Roman" w:hAnsi="Times New Roman" w:eastAsia="Times New Roman" w:cs="Times New Roman"/>
          <w:b w:val="0"/>
          <w:bCs w:val="0"/>
          <w:i w:val="0"/>
          <w:iCs w:val="0"/>
          <w:sz w:val="22"/>
          <w:szCs w:val="22"/>
        </w:rPr>
        <w:t xml:space="preserve">. An ideal burn dressing should be antimicrobial, non-painful, easy to apply, and able to stimulate rapid granulation and epithelialisation without provoking excessive scarring </w:t>
      </w:r>
      <w:r>
        <w:rPr>
          <w:rFonts w:ascii="Times New Roman" w:hAnsi="Times New Roman" w:eastAsia="Times New Roman" w:cs="Times New Roman"/>
          <w:b w:val="0"/>
          <w:bCs w:val="0"/>
          <w:i w:val="0"/>
          <w:iCs w:val="0"/>
          <w:sz w:val="16"/>
          <w:szCs w:val="16"/>
          <w:vertAlign w:val="superscript"/>
        </w:rPr>
        <w:t>[14]</w:t>
      </w:r>
      <w:r>
        <w:rPr>
          <w:rFonts w:ascii="Times New Roman" w:hAnsi="Times New Roman" w:eastAsia="Times New Roman" w:cs="Times New Roman"/>
          <w:b w:val="0"/>
          <w:bCs w:val="0"/>
          <w:i w:val="0"/>
          <w:iCs w:val="0"/>
          <w:sz w:val="22"/>
          <w:szCs w:val="22"/>
        </w:rPr>
        <w:t xml:space="preserve">; to date, no single, low-cost topical agent fully satisfies these criteria </w:t>
      </w:r>
      <w:r>
        <w:rPr>
          <w:rFonts w:ascii="Times New Roman" w:hAnsi="Times New Roman" w:eastAsia="Times New Roman" w:cs="Times New Roman"/>
          <w:b w:val="0"/>
          <w:bCs w:val="0"/>
          <w:i w:val="0"/>
          <w:iCs w:val="0"/>
          <w:sz w:val="16"/>
          <w:szCs w:val="16"/>
          <w:vertAlign w:val="superscript"/>
        </w:rPr>
        <w:t>[13]</w:t>
      </w:r>
      <w:r>
        <w:rPr>
          <w:rFonts w:ascii="Times New Roman" w:hAnsi="Times New Roman" w:eastAsia="Times New Roman" w:cs="Times New Roman"/>
          <w:b w:val="0"/>
          <w:bCs w:val="0"/>
          <w:i w:val="0"/>
          <w:iCs w:val="0"/>
          <w:sz w:val="22"/>
          <w:szCs w:val="22"/>
        </w:rPr>
        <w:t>.</w:t>
      </w:r>
    </w:p>
    <w:p w14:paraId="3B8A317A">
      <w:pPr>
        <w:spacing w:before="0" w:after="200" w:line="276" w:lineRule="auto"/>
        <w:jc w:val="both"/>
      </w:pPr>
      <w:r>
        <w:rPr>
          <w:rFonts w:ascii="Times New Roman" w:hAnsi="Times New Roman" w:eastAsia="Times New Roman" w:cs="Times New Roman"/>
          <w:b w:val="0"/>
          <w:bCs w:val="0"/>
          <w:i w:val="0"/>
          <w:iCs w:val="0"/>
          <w:sz w:val="22"/>
          <w:szCs w:val="22"/>
        </w:rPr>
        <w:t xml:space="preserve">Virgin coconut oil (VCO), a minimally processed oil derived from fresh coconut meat, has attracted interest as a candidate topical burn agent. Its medium-chain saturated fatty acids — lauric, capric and caprylic acid — confer broad antimicrobial activity against common burn-wound pathogens such as </w:t>
      </w:r>
      <w:r>
        <w:rPr>
          <w:rFonts w:ascii="Times New Roman" w:hAnsi="Times New Roman" w:eastAsia="Times New Roman" w:cs="Times New Roman"/>
          <w:b w:val="0"/>
          <w:bCs w:val="0"/>
          <w:i/>
          <w:iCs/>
          <w:sz w:val="22"/>
          <w:szCs w:val="22"/>
        </w:rPr>
        <w:t>Pseudomonas aeruginosa</w:t>
      </w:r>
      <w:r>
        <w:rPr>
          <w:rFonts w:ascii="Times New Roman" w:hAnsi="Times New Roman" w:eastAsia="Times New Roman" w:cs="Times New Roman"/>
          <w:b w:val="0"/>
          <w:bCs w:val="0"/>
          <w:i w:val="0"/>
          <w:iCs w:val="0"/>
          <w:sz w:val="22"/>
          <w:szCs w:val="22"/>
        </w:rPr>
        <w:t xml:space="preserve">, </w:t>
      </w:r>
      <w:r>
        <w:rPr>
          <w:rFonts w:ascii="Times New Roman" w:hAnsi="Times New Roman" w:eastAsia="Times New Roman" w:cs="Times New Roman"/>
          <w:b w:val="0"/>
          <w:bCs w:val="0"/>
          <w:i/>
          <w:iCs/>
          <w:sz w:val="22"/>
          <w:szCs w:val="22"/>
        </w:rPr>
        <w:t>Escherichia coli</w:t>
      </w:r>
      <w:r>
        <w:rPr>
          <w:rFonts w:ascii="Times New Roman" w:hAnsi="Times New Roman" w:eastAsia="Times New Roman" w:cs="Times New Roman"/>
          <w:b w:val="0"/>
          <w:bCs w:val="0"/>
          <w:i w:val="0"/>
          <w:iCs w:val="0"/>
          <w:sz w:val="22"/>
          <w:szCs w:val="22"/>
        </w:rPr>
        <w:t xml:space="preserve">, and </w:t>
      </w:r>
      <w:r>
        <w:rPr>
          <w:rFonts w:ascii="Times New Roman" w:hAnsi="Times New Roman" w:eastAsia="Times New Roman" w:cs="Times New Roman"/>
          <w:b w:val="0"/>
          <w:bCs w:val="0"/>
          <w:i/>
          <w:iCs/>
          <w:sz w:val="22"/>
          <w:szCs w:val="22"/>
        </w:rPr>
        <w:t>Candida albicans</w:t>
      </w:r>
      <w:r>
        <w:rPr>
          <w:rFonts w:ascii="Times New Roman" w:hAnsi="Times New Roman" w:eastAsia="Times New Roman" w:cs="Times New Roman"/>
          <w:b w:val="0"/>
          <w:bCs w:val="0"/>
          <w:i w:val="0"/>
          <w:iCs w:val="0"/>
          <w:sz w:val="16"/>
          <w:szCs w:val="16"/>
          <w:vertAlign w:val="superscript"/>
        </w:rPr>
        <w:t>[15,16]</w:t>
      </w:r>
      <w:r>
        <w:rPr>
          <w:rFonts w:ascii="Times New Roman" w:hAnsi="Times New Roman" w:eastAsia="Times New Roman" w:cs="Times New Roman"/>
          <w:b w:val="0"/>
          <w:bCs w:val="0"/>
          <w:i w:val="0"/>
          <w:iCs w:val="0"/>
          <w:sz w:val="22"/>
          <w:szCs w:val="22"/>
        </w:rPr>
        <w:t xml:space="preserve">, while its unsaturated fatty acids, including oleic and palmitoleic acid, have been reported to exert anti-inflammatory, antioxidant and pro-collagenic effects in experimental wound models </w:t>
      </w:r>
      <w:r>
        <w:rPr>
          <w:rFonts w:ascii="Times New Roman" w:hAnsi="Times New Roman" w:eastAsia="Times New Roman" w:cs="Times New Roman"/>
          <w:b w:val="0"/>
          <w:bCs w:val="0"/>
          <w:i w:val="0"/>
          <w:iCs w:val="0"/>
          <w:sz w:val="16"/>
          <w:szCs w:val="16"/>
          <w:vertAlign w:val="superscript"/>
        </w:rPr>
        <w:t>[17,18,19]</w:t>
      </w:r>
      <w:r>
        <w:rPr>
          <w:rFonts w:ascii="Times New Roman" w:hAnsi="Times New Roman" w:eastAsia="Times New Roman" w:cs="Times New Roman"/>
          <w:b w:val="0"/>
          <w:bCs w:val="0"/>
          <w:i w:val="0"/>
          <w:iCs w:val="0"/>
          <w:sz w:val="22"/>
          <w:szCs w:val="22"/>
        </w:rPr>
        <w:t xml:space="preserve">. Earlier animal studies have shown that VCO, alone or combined with silver sulfadiazine, accelerates partial-thickness wound healing </w:t>
      </w:r>
      <w:r>
        <w:rPr>
          <w:rFonts w:ascii="Times New Roman" w:hAnsi="Times New Roman" w:eastAsia="Times New Roman" w:cs="Times New Roman"/>
          <w:b w:val="0"/>
          <w:bCs w:val="0"/>
          <w:i w:val="0"/>
          <w:iCs w:val="0"/>
          <w:sz w:val="16"/>
          <w:szCs w:val="16"/>
          <w:vertAlign w:val="superscript"/>
        </w:rPr>
        <w:t>[20,21]</w:t>
      </w:r>
      <w:r>
        <w:rPr>
          <w:rFonts w:ascii="Times New Roman" w:hAnsi="Times New Roman" w:eastAsia="Times New Roman" w:cs="Times New Roman"/>
          <w:b w:val="0"/>
          <w:bCs w:val="0"/>
          <w:i w:val="0"/>
          <w:iCs w:val="0"/>
          <w:sz w:val="22"/>
          <w:szCs w:val="22"/>
        </w:rPr>
        <w:t xml:space="preserve">, and topical VCO has been reported to increase dermal collagen and hydroxyproline content and improve antioxidant status during normal dermal wound healing in rats </w:t>
      </w:r>
      <w:r>
        <w:rPr>
          <w:rFonts w:ascii="Times New Roman" w:hAnsi="Times New Roman" w:eastAsia="Times New Roman" w:cs="Times New Roman"/>
          <w:b w:val="0"/>
          <w:bCs w:val="0"/>
          <w:i w:val="0"/>
          <w:iCs w:val="0"/>
          <w:sz w:val="16"/>
          <w:szCs w:val="16"/>
          <w:vertAlign w:val="superscript"/>
        </w:rPr>
        <w:t>[19]</w:t>
      </w:r>
      <w:r>
        <w:rPr>
          <w:rFonts w:ascii="Times New Roman" w:hAnsi="Times New Roman" w:eastAsia="Times New Roman" w:cs="Times New Roman"/>
          <w:b w:val="0"/>
          <w:bCs w:val="0"/>
          <w:i w:val="0"/>
          <w:iCs w:val="0"/>
          <w:sz w:val="22"/>
          <w:szCs w:val="22"/>
        </w:rPr>
        <w:t>. However, its dose-independent effect on type I collagen expression specifically within a burn-injury granulation tissue model, benchmarked directly against an established biological dressing, has not been well characterised.</w:t>
      </w:r>
    </w:p>
    <w:p w14:paraId="47530773">
      <w:pPr>
        <w:spacing w:before="0" w:after="200" w:line="276" w:lineRule="auto"/>
        <w:jc w:val="both"/>
      </w:pPr>
      <w:r>
        <w:rPr>
          <w:rFonts w:ascii="Times New Roman" w:hAnsi="Times New Roman" w:eastAsia="Times New Roman" w:cs="Times New Roman"/>
          <w:b w:val="0"/>
          <w:bCs w:val="0"/>
          <w:i w:val="0"/>
          <w:iCs w:val="0"/>
          <w:sz w:val="22"/>
          <w:szCs w:val="22"/>
        </w:rPr>
        <w:t xml:space="preserve">Human amnion membrane, first introduced for burn treatment by Pigeon in 1960, is a biological dressing rich in growth factors and cytokines that has demonstrated favourable outcomes in burn management and is widely regarded as a positive-control comparator for candidate topical burn agents </w:t>
      </w:r>
      <w:r>
        <w:rPr>
          <w:rFonts w:ascii="Times New Roman" w:hAnsi="Times New Roman" w:eastAsia="Times New Roman" w:cs="Times New Roman"/>
          <w:b w:val="0"/>
          <w:bCs w:val="0"/>
          <w:i w:val="0"/>
          <w:iCs w:val="0"/>
          <w:sz w:val="16"/>
          <w:szCs w:val="16"/>
          <w:vertAlign w:val="superscript"/>
        </w:rPr>
        <w:t>[22,23,24]</w:t>
      </w:r>
      <w:r>
        <w:rPr>
          <w:rFonts w:ascii="Times New Roman" w:hAnsi="Times New Roman" w:eastAsia="Times New Roman" w:cs="Times New Roman"/>
          <w:b w:val="0"/>
          <w:bCs w:val="0"/>
          <w:i w:val="0"/>
          <w:iCs w:val="0"/>
          <w:sz w:val="22"/>
          <w:szCs w:val="22"/>
        </w:rPr>
        <w:t xml:space="preserve">. Because amnion application requires specialised handling, sterile processing and trained supervision, it is not universally accessible, which reinforces the rationale for evaluating a low-cost, easily applied alternative such as VCO against this established benchmark </w:t>
      </w:r>
      <w:r>
        <w:rPr>
          <w:rFonts w:ascii="Times New Roman" w:hAnsi="Times New Roman" w:eastAsia="Times New Roman" w:cs="Times New Roman"/>
          <w:b w:val="0"/>
          <w:bCs w:val="0"/>
          <w:i w:val="0"/>
          <w:iCs w:val="0"/>
          <w:sz w:val="16"/>
          <w:szCs w:val="16"/>
          <w:vertAlign w:val="superscript"/>
        </w:rPr>
        <w:t>[24]</w:t>
      </w:r>
    </w:p>
    <w:p w14:paraId="47085B34">
      <w:pPr>
        <w:spacing w:before="0" w:after="300" w:line="276" w:lineRule="auto"/>
        <w:jc w:val="both"/>
      </w:pPr>
      <w:r>
        <w:rPr>
          <w:rFonts w:ascii="Times New Roman" w:hAnsi="Times New Roman" w:eastAsia="Times New Roman" w:cs="Times New Roman"/>
          <w:b w:val="0"/>
          <w:bCs w:val="0"/>
          <w:i w:val="0"/>
          <w:iCs w:val="0"/>
          <w:sz w:val="22"/>
          <w:szCs w:val="22"/>
        </w:rPr>
        <w:t xml:space="preserve">The present study forms part of a broader experimental programme examining the effect of topical VCO on second-degree burn wound healing in </w:t>
      </w:r>
      <w:r>
        <w:rPr>
          <w:rFonts w:ascii="Times New Roman" w:hAnsi="Times New Roman" w:eastAsia="Times New Roman" w:cs="Times New Roman"/>
          <w:b w:val="0"/>
          <w:bCs w:val="0"/>
          <w:i/>
          <w:iCs/>
          <w:sz w:val="22"/>
          <w:szCs w:val="22"/>
        </w:rPr>
        <w:t>Rattus novergicus</w:t>
      </w:r>
      <w:r>
        <w:rPr>
          <w:rFonts w:ascii="Times New Roman" w:hAnsi="Times New Roman" w:eastAsia="Times New Roman" w:cs="Times New Roman"/>
          <w:b w:val="0"/>
          <w:bCs w:val="0"/>
          <w:i w:val="0"/>
          <w:iCs w:val="0"/>
          <w:sz w:val="22"/>
          <w:szCs w:val="22"/>
        </w:rPr>
        <w:t>; findings on the systemic mRNA expression of vascular endothelial growth factor-A (VEGF-A) and epidermal growth factor (EGF) from the same experimental series are reported separately. The specific aim of the present manuscript was to analyse the effect of topical VCO, relative to an untreated control and human amnion membrane, on the density of inflammatory cells and the deposition of type I collagen in the granulation tissue of second-degree burn wounds at day 14 post-injury.</w:t>
      </w:r>
    </w:p>
    <w:p w14:paraId="68B53430">
      <w:pPr>
        <w:pStyle w:val="2"/>
        <w:spacing w:before="360" w:after="200"/>
      </w:pPr>
      <w:r>
        <w:rPr>
          <w:rFonts w:ascii="Times New Roman" w:hAnsi="Times New Roman" w:eastAsia="Times New Roman" w:cs="Times New Roman"/>
          <w:b/>
          <w:bCs/>
          <w:caps w:val="0"/>
          <w:sz w:val="26"/>
          <w:szCs w:val="26"/>
        </w:rPr>
        <w:t>2. Materials and Methods</w:t>
      </w:r>
    </w:p>
    <w:p w14:paraId="67C7777D">
      <w:pPr>
        <w:pStyle w:val="3"/>
        <w:spacing w:before="260" w:after="160"/>
      </w:pPr>
      <w:r>
        <w:rPr>
          <w:rFonts w:ascii="Times New Roman" w:hAnsi="Times New Roman" w:eastAsia="Times New Roman" w:cs="Times New Roman"/>
          <w:b/>
          <w:bCs/>
          <w:i/>
          <w:iCs/>
          <w:sz w:val="23"/>
          <w:szCs w:val="23"/>
        </w:rPr>
        <w:t>2.1 Ethical Approval</w:t>
      </w:r>
    </w:p>
    <w:p w14:paraId="73BC980B">
      <w:pPr>
        <w:keepNext w:val="0"/>
        <w:spacing w:before="0" w:after="200" w:line="276" w:lineRule="auto"/>
        <w:jc w:val="both"/>
      </w:pPr>
      <w:r>
        <w:rPr>
          <w:rFonts w:ascii="Times New Roman" w:hAnsi="Times New Roman" w:eastAsia="Times New Roman" w:cs="Times New Roman"/>
          <w:b w:val="0"/>
          <w:bCs w:val="0"/>
          <w:i w:val="0"/>
          <w:iCs w:val="0"/>
          <w:sz w:val="22"/>
          <w:szCs w:val="22"/>
        </w:rPr>
        <w:t>This experimental study was approved by the Health Research Ethics Committee, Faculty of Medicine, Universitas Andalas, Padang, Indonesia. Animal handling followed the five freedoms principle (freedom from hunger and thirst, discomfort, pain and disease, fear and distress, and freedom to express normal behaviour), and all procedures were performed under general anaesthesia with appropriate analgesia.</w:t>
      </w:r>
    </w:p>
    <w:p w14:paraId="5F189D6B">
      <w:pPr>
        <w:pStyle w:val="3"/>
        <w:spacing w:before="260" w:after="160"/>
      </w:pPr>
      <w:r>
        <w:rPr>
          <w:rFonts w:ascii="Times New Roman" w:hAnsi="Times New Roman" w:eastAsia="Times New Roman" w:cs="Times New Roman"/>
          <w:b/>
          <w:bCs/>
          <w:i/>
          <w:iCs/>
          <w:sz w:val="23"/>
          <w:szCs w:val="23"/>
        </w:rPr>
        <w:t>2.2 Animals and Sample Size</w:t>
      </w:r>
    </w:p>
    <w:p w14:paraId="40C428DD">
      <w:pPr>
        <w:spacing w:before="0" w:after="200" w:line="276" w:lineRule="auto"/>
        <w:jc w:val="both"/>
      </w:pPr>
      <w:r>
        <w:rPr>
          <w:rFonts w:ascii="Times New Roman" w:hAnsi="Times New Roman" w:eastAsia="Times New Roman" w:cs="Times New Roman"/>
          <w:b w:val="0"/>
          <w:bCs w:val="0"/>
          <w:i w:val="0"/>
          <w:iCs w:val="0"/>
          <w:sz w:val="22"/>
          <w:szCs w:val="22"/>
        </w:rPr>
        <w:t>Healthy male Wistar rats (</w:t>
      </w:r>
      <w:r>
        <w:rPr>
          <w:rFonts w:ascii="Times New Roman" w:hAnsi="Times New Roman" w:eastAsia="Times New Roman" w:cs="Times New Roman"/>
          <w:b w:val="0"/>
          <w:bCs w:val="0"/>
          <w:i/>
          <w:iCs/>
          <w:sz w:val="22"/>
          <w:szCs w:val="22"/>
        </w:rPr>
        <w:t>Rattus novergicus</w:t>
      </w:r>
      <w:r>
        <w:rPr>
          <w:rFonts w:ascii="Times New Roman" w:hAnsi="Times New Roman" w:eastAsia="Times New Roman" w:cs="Times New Roman"/>
          <w:b w:val="0"/>
          <w:bCs w:val="0"/>
          <w:i w:val="0"/>
          <w:iCs w:val="0"/>
          <w:sz w:val="22"/>
          <w:szCs w:val="22"/>
        </w:rPr>
        <w:t>), aged 2–3 months and weighing 150–200 g, were obtained from the Laboratory of the Faculty of Pharmacy, Universitas Andalas, Padang. Inclusion criteria were active movement and body-weight gain of less than 10% of baseline during the observation period; animals showing signs of illness (inactivity, anorexia) or weight gain exceeding 10% were excluded. The minimum sample size per group was calculated using Federer's formula, (n − 1)(t − 1) ≥ 15, where t is the number of treatment groups (t = 3), giving a minimum of 8 animals per group; after adjusting for an anticipated 10% attrition, 9 animals were allocated to each of the three groups (total n = 27).</w:t>
      </w:r>
      <w:r>
        <w:rPr>
          <w:rFonts w:ascii="Times New Roman" w:hAnsi="Times New Roman" w:eastAsia="Times New Roman" w:cs="Times New Roman"/>
          <w:b w:val="0"/>
          <w:bCs w:val="0"/>
          <w:i w:val="0"/>
          <w:iCs w:val="0"/>
          <w:sz w:val="16"/>
          <w:szCs w:val="16"/>
          <w:vertAlign w:val="superscript"/>
        </w:rPr>
        <w:t>[25,26]</w:t>
      </w:r>
    </w:p>
    <w:p w14:paraId="2002B3D9">
      <w:pPr>
        <w:pStyle w:val="3"/>
        <w:spacing w:before="260" w:after="160"/>
      </w:pPr>
      <w:r>
        <w:rPr>
          <w:rFonts w:ascii="Times New Roman" w:hAnsi="Times New Roman" w:eastAsia="Times New Roman" w:cs="Times New Roman"/>
          <w:b/>
          <w:bCs/>
          <w:i/>
          <w:iCs/>
          <w:sz w:val="23"/>
          <w:szCs w:val="23"/>
        </w:rPr>
        <w:t>2.3 Burn Wound Induction and Study Groups</w:t>
      </w:r>
    </w:p>
    <w:p w14:paraId="2936A331">
      <w:pPr>
        <w:spacing w:before="0" w:after="200" w:line="276" w:lineRule="auto"/>
        <w:jc w:val="both"/>
      </w:pPr>
      <w:r>
        <w:rPr>
          <w:rFonts w:ascii="Times New Roman" w:hAnsi="Times New Roman" w:eastAsia="Times New Roman" w:cs="Times New Roman"/>
          <w:b w:val="0"/>
          <w:bCs w:val="0"/>
          <w:i w:val="0"/>
          <w:iCs w:val="0"/>
          <w:sz w:val="22"/>
          <w:szCs w:val="22"/>
        </w:rPr>
        <w:t>Under general anaesthesia, the dorsal fur was shaved over a 4 cm diameter area and the skin disinfected. A superficial second-degree burn was induced following the method of Pereira et al.</w:t>
      </w:r>
      <w:r>
        <w:rPr>
          <w:rFonts w:ascii="Times New Roman" w:hAnsi="Times New Roman" w:eastAsia="Times New Roman" w:cs="Times New Roman"/>
          <w:b w:val="0"/>
          <w:bCs w:val="0"/>
          <w:i w:val="0"/>
          <w:iCs w:val="0"/>
          <w:sz w:val="16"/>
          <w:szCs w:val="16"/>
          <w:vertAlign w:val="superscript"/>
        </w:rPr>
        <w:t>[26]</w:t>
      </w:r>
      <w:r>
        <w:rPr>
          <w:rFonts w:ascii="Times New Roman" w:hAnsi="Times New Roman" w:eastAsia="Times New Roman" w:cs="Times New Roman"/>
          <w:b w:val="0"/>
          <w:bCs w:val="0"/>
          <w:i w:val="0"/>
          <w:iCs w:val="0"/>
          <w:sz w:val="22"/>
          <w:szCs w:val="22"/>
        </w:rPr>
        <w:t>, using a stainless-steel disc 2 cm in diameter, heated in boiling water (100°C) and applied to the shaved dorsal skin for 15 seconds. Immediately after wounding, animals were randomly allocated to one of three groups (n = 9 per group): an untreated negative control (K); a group receiving topical VCO 0.5 mL applied twice daily directly onto the wound (V); and a group receiving a single application of lyophilised human amnion membrane over the wound at the time of injury as the positive control (A). All animals received intramuscular analgesia (antalgin, 500 mg/kg body weight).</w:t>
      </w:r>
    </w:p>
    <w:p w14:paraId="5D92F9B1">
      <w:pPr>
        <w:pStyle w:val="3"/>
        <w:spacing w:before="260" w:after="160"/>
      </w:pPr>
      <w:r>
        <w:rPr>
          <w:rFonts w:ascii="Times New Roman" w:hAnsi="Times New Roman" w:eastAsia="Times New Roman" w:cs="Times New Roman"/>
          <w:b/>
          <w:bCs/>
          <w:i/>
          <w:iCs/>
          <w:sz w:val="23"/>
          <w:szCs w:val="23"/>
        </w:rPr>
        <w:t>2.4 Tissue Processing, Histology and Immunohistochemistry</w:t>
      </w:r>
    </w:p>
    <w:p w14:paraId="7F950E54">
      <w:pPr>
        <w:keepNext w:val="0"/>
        <w:spacing w:before="0" w:after="200" w:line="276" w:lineRule="auto"/>
        <w:jc w:val="both"/>
      </w:pPr>
      <w:r>
        <w:rPr>
          <w:rFonts w:ascii="Times New Roman" w:hAnsi="Times New Roman" w:eastAsia="Times New Roman" w:cs="Times New Roman"/>
          <w:b w:val="0"/>
          <w:bCs w:val="0"/>
          <w:i w:val="0"/>
          <w:iCs w:val="0"/>
          <w:sz w:val="22"/>
          <w:szCs w:val="22"/>
        </w:rPr>
        <w:t>On day 14 post-burn, dorsal skin biopsies were obtained from surviving animals and fixed in 10% neutral-buffered formalin for 24 hours, processed through graded ethanol dehydration, xylene clearing, and paraffin embedding. Sections of 4 μm thickness were cut with a rotary microtome. One series of sections was stained with haematoxylin and eosin (H&amp;E) for general histopathological assessment of re-epithelialisation, granulation tissue and inflammatory cell infiltrate. A parallel series underwent immunohistochemical staining for collagen type I: sections were deparaffinised, rehydrated, subjected to heat-induced epitope retrieval in citrate buffer (pH 6), and endogenous peroxidase activity was blocked. After non-specific protein blocking with normal goat serum, sections were incubated overnight at 4°C with a primary anti-collagen type I antibody, followed by a secondary antibody, avidin–biotin complex, and 3,3′-diaminobenzidine (DAB) chromogen, with haematoxylin counterstaining.</w:t>
      </w:r>
    </w:p>
    <w:p w14:paraId="32B5609B">
      <w:pPr>
        <w:pStyle w:val="3"/>
        <w:spacing w:before="260" w:after="160"/>
      </w:pPr>
      <w:r>
        <w:rPr>
          <w:rFonts w:ascii="Times New Roman" w:hAnsi="Times New Roman" w:eastAsia="Times New Roman" w:cs="Times New Roman"/>
          <w:b/>
          <w:bCs/>
          <w:i/>
          <w:iCs/>
          <w:sz w:val="23"/>
          <w:szCs w:val="23"/>
        </w:rPr>
        <w:t>2.5 Quantitative Image Analysis</w:t>
      </w:r>
    </w:p>
    <w:p w14:paraId="165F477E">
      <w:pPr>
        <w:keepNext w:val="0"/>
        <w:spacing w:before="0" w:after="200" w:line="276" w:lineRule="auto"/>
        <w:jc w:val="both"/>
      </w:pPr>
      <w:r>
        <w:rPr>
          <w:rFonts w:ascii="Times New Roman" w:hAnsi="Times New Roman" w:eastAsia="Times New Roman" w:cs="Times New Roman"/>
          <w:b w:val="0"/>
          <w:bCs w:val="0"/>
          <w:i w:val="0"/>
          <w:iCs w:val="0"/>
          <w:sz w:val="22"/>
          <w:szCs w:val="22"/>
        </w:rPr>
        <w:t>Photomicrographs were obtained with an Olympus BX51 light microscope at 400× magnification, capturing five randomly selected fields per section. Inflammatory cell density (neutrophils, lymphocytes and macrophages) within the dermal granulation tissue was quantified using the grid and cell-counter functions of ImageJ software (ImageJ 1.49v, National Institutes of Health, USA) and expressed as the mean cell count per field. For collagen type I, the DAB-positive (brown-stained) area within the granulation tissue was converted to a binary threshold in ImageJ and expressed as the percentage of the total field area occupied by positively stained extracellular matrix. In addition, residual macroscopic wound area at day 14 was measured from digital photographs using ImageJ pixel-area analysis and expressed as a percentage of the original wound area.</w:t>
      </w:r>
    </w:p>
    <w:p w14:paraId="4C1D2C3D">
      <w:pPr>
        <w:pStyle w:val="3"/>
        <w:spacing w:before="260" w:after="160"/>
      </w:pPr>
      <w:r>
        <w:rPr>
          <w:rFonts w:ascii="Times New Roman" w:hAnsi="Times New Roman" w:eastAsia="Times New Roman" w:cs="Times New Roman"/>
          <w:b/>
          <w:bCs/>
          <w:i/>
          <w:iCs/>
          <w:sz w:val="23"/>
          <w:szCs w:val="23"/>
        </w:rPr>
        <w:t>2.6 Statistical Analysis</w:t>
      </w:r>
    </w:p>
    <w:p w14:paraId="579C89B1">
      <w:pPr>
        <w:keepNext w:val="0"/>
        <w:spacing w:before="0" w:after="300" w:line="276" w:lineRule="auto"/>
        <w:jc w:val="both"/>
      </w:pPr>
      <w:r>
        <w:rPr>
          <w:rFonts w:ascii="Times New Roman" w:hAnsi="Times New Roman" w:eastAsia="Times New Roman" w:cs="Times New Roman"/>
          <w:b w:val="0"/>
          <w:bCs w:val="0"/>
          <w:i w:val="0"/>
          <w:iCs w:val="0"/>
          <w:sz w:val="22"/>
          <w:szCs w:val="22"/>
        </w:rPr>
        <w:t>Data were tested for normality prior to comparison. Normally distributed data with homogeneous variance were compared across the three groups using one-way analysis of variance (ANOVA), followed by Tukey's honestly significant difference (HSD) post hoc test for pairwise comparisons. A p-value &lt; 0.05 was considered statistically significant.</w:t>
      </w:r>
    </w:p>
    <w:p w14:paraId="310AF6FA">
      <w:pPr>
        <w:pStyle w:val="2"/>
        <w:spacing w:before="360" w:after="200"/>
      </w:pPr>
      <w:r>
        <w:rPr>
          <w:rFonts w:ascii="Times New Roman" w:hAnsi="Times New Roman" w:eastAsia="Times New Roman" w:cs="Times New Roman"/>
          <w:b/>
          <w:bCs/>
          <w:caps w:val="0"/>
          <w:sz w:val="26"/>
          <w:szCs w:val="26"/>
        </w:rPr>
        <w:t>3. Results</w:t>
      </w:r>
    </w:p>
    <w:p w14:paraId="56868EBE">
      <w:pPr>
        <w:pStyle w:val="3"/>
        <w:spacing w:before="260" w:after="160"/>
      </w:pPr>
      <w:r>
        <w:rPr>
          <w:rFonts w:ascii="Times New Roman" w:hAnsi="Times New Roman" w:eastAsia="Times New Roman" w:cs="Times New Roman"/>
          <w:b/>
          <w:bCs/>
          <w:i/>
          <w:iCs/>
          <w:sz w:val="23"/>
          <w:szCs w:val="23"/>
        </w:rPr>
        <w:t>3.1 Animal Survival and Macroscopic Wound Appearance</w:t>
      </w:r>
    </w:p>
    <w:p w14:paraId="278ED962">
      <w:pPr>
        <w:keepNext w:val="0"/>
        <w:spacing w:before="0" w:after="200" w:line="276" w:lineRule="auto"/>
        <w:jc w:val="both"/>
      </w:pPr>
      <w:r>
        <w:rPr>
          <w:rFonts w:ascii="Times New Roman" w:hAnsi="Times New Roman" w:eastAsia="Times New Roman" w:cs="Times New Roman"/>
          <w:b w:val="0"/>
          <w:bCs w:val="0"/>
          <w:i w:val="0"/>
          <w:iCs w:val="0"/>
          <w:sz w:val="22"/>
          <w:szCs w:val="22"/>
        </w:rPr>
        <w:t>All nine animals in the VCO group survived to day 14. In contrast, two animals in the control group and two in the amnion group died by day 4, so day-14 tissue analysis was based on n = 9 (VCO), n = 7 (control), and n = 7 (amnion). Macroscopically, wounds in the control and amnion groups were covered by a thick eschar at day 14, whereas VCO-treated wounds showed no eschar formation and visibly smaller residual wound diameters. Quantitative pixel-area analysis of the residual wound (Table 1) showed the smallest mean residual wound area in the VCO group, followed by the amnion and control groups, although the between-group difference did not reach statistical significance (one-way ANOVA, p = 0.101).</w:t>
      </w:r>
    </w:p>
    <w:p w14:paraId="03D1CEF2">
      <w:pPr>
        <w:spacing w:before="200" w:after="120" w:line="264" w:lineRule="auto"/>
        <w:jc w:val="both"/>
      </w:pPr>
      <w:r>
        <w:rPr>
          <w:rFonts w:ascii="Times New Roman" w:hAnsi="Times New Roman" w:eastAsia="Times New Roman" w:cs="Times New Roman"/>
          <w:b/>
          <w:bCs/>
          <w:sz w:val="19"/>
          <w:szCs w:val="19"/>
        </w:rPr>
        <w:t xml:space="preserve">Table 1. </w:t>
      </w:r>
      <w:r>
        <w:rPr>
          <w:rFonts w:ascii="Times New Roman" w:hAnsi="Times New Roman" w:eastAsia="Times New Roman" w:cs="Times New Roman"/>
          <w:sz w:val="19"/>
          <w:szCs w:val="19"/>
        </w:rPr>
        <w:t>Residual macroscopic wound area (% of original wound) at day 14 post-burn.</w:t>
      </w:r>
    </w:p>
    <w:tbl>
      <w:tblPr>
        <w:tblStyle w:val="9"/>
        <w:tblW w:w="9500" w:type="dxa"/>
        <w:tblInd w:w="0" w:type="dxa"/>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Layout w:type="autofit"/>
        <w:tblCellMar>
          <w:top w:w="0" w:type="dxa"/>
          <w:left w:w="10" w:type="dxa"/>
          <w:bottom w:w="0" w:type="dxa"/>
          <w:right w:w="10" w:type="dxa"/>
        </w:tblCellMar>
      </w:tblPr>
      <w:tblGrid>
        <w:gridCol w:w="3600"/>
        <w:gridCol w:w="5900"/>
      </w:tblGrid>
      <w:tr w14:paraId="6EFE5625">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rPr>
          <w:tblHeader/>
        </w:trPr>
        <w:tc>
          <w:tcPr>
            <w:tcW w:w="3600" w:type="dxa"/>
            <w:shd w:val="clear" w:color="auto" w:fill="D9E2F3"/>
            <w:tcMar>
              <w:top w:w="60" w:type="dxa"/>
              <w:left w:w="100" w:type="dxa"/>
              <w:bottom w:w="60" w:type="dxa"/>
              <w:right w:w="100" w:type="dxa"/>
            </w:tcMar>
            <w:vAlign w:val="center"/>
          </w:tcPr>
          <w:p w14:paraId="5FF9B526">
            <w:pPr>
              <w:jc w:val="center"/>
            </w:pPr>
            <w:r>
              <w:rPr>
                <w:rFonts w:ascii="Times New Roman" w:hAnsi="Times New Roman" w:eastAsia="Times New Roman" w:cs="Times New Roman"/>
                <w:b/>
                <w:bCs/>
                <w:i w:val="0"/>
                <w:iCs w:val="0"/>
                <w:sz w:val="19"/>
                <w:szCs w:val="19"/>
              </w:rPr>
              <w:t>Treatment Group</w:t>
            </w:r>
          </w:p>
        </w:tc>
        <w:tc>
          <w:tcPr>
            <w:tcW w:w="5900" w:type="dxa"/>
            <w:shd w:val="clear" w:color="auto" w:fill="D9E2F3"/>
            <w:tcMar>
              <w:top w:w="60" w:type="dxa"/>
              <w:left w:w="100" w:type="dxa"/>
              <w:bottom w:w="60" w:type="dxa"/>
              <w:right w:w="100" w:type="dxa"/>
            </w:tcMar>
            <w:vAlign w:val="center"/>
          </w:tcPr>
          <w:p w14:paraId="4631A4D2">
            <w:pPr>
              <w:jc w:val="center"/>
            </w:pPr>
            <w:r>
              <w:rPr>
                <w:rFonts w:ascii="Times New Roman" w:hAnsi="Times New Roman" w:eastAsia="Times New Roman" w:cs="Times New Roman"/>
                <w:b/>
                <w:bCs/>
                <w:i w:val="0"/>
                <w:iCs w:val="0"/>
                <w:sz w:val="19"/>
                <w:szCs w:val="19"/>
              </w:rPr>
              <w:t>Residual Wound Area at Day 14 (%, mean ± SD)</w:t>
            </w:r>
          </w:p>
        </w:tc>
      </w:tr>
      <w:tr w14:paraId="322B5C0F">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622ABE7F">
            <w:pPr>
              <w:jc w:val="left"/>
            </w:pPr>
            <w:r>
              <w:rPr>
                <w:rFonts w:ascii="Times New Roman" w:hAnsi="Times New Roman" w:eastAsia="Times New Roman" w:cs="Times New Roman"/>
                <w:b w:val="0"/>
                <w:bCs w:val="0"/>
                <w:i w:val="0"/>
                <w:iCs w:val="0"/>
                <w:sz w:val="19"/>
                <w:szCs w:val="19"/>
              </w:rPr>
              <w:t>Control (K)</w:t>
            </w:r>
          </w:p>
        </w:tc>
        <w:tc>
          <w:tcPr>
            <w:tcW w:w="5900" w:type="dxa"/>
            <w:tcMar>
              <w:top w:w="60" w:type="dxa"/>
              <w:left w:w="100" w:type="dxa"/>
              <w:bottom w:w="60" w:type="dxa"/>
              <w:right w:w="100" w:type="dxa"/>
            </w:tcMar>
            <w:vAlign w:val="center"/>
          </w:tcPr>
          <w:p w14:paraId="2929F558">
            <w:pPr>
              <w:jc w:val="center"/>
            </w:pPr>
            <w:r>
              <w:rPr>
                <w:rFonts w:ascii="Times New Roman" w:hAnsi="Times New Roman" w:eastAsia="Times New Roman" w:cs="Times New Roman"/>
                <w:b w:val="0"/>
                <w:bCs w:val="0"/>
                <w:i w:val="0"/>
                <w:iCs w:val="0"/>
                <w:sz w:val="19"/>
                <w:szCs w:val="19"/>
              </w:rPr>
              <w:t>63.00 ± 23.00</w:t>
            </w:r>
          </w:p>
        </w:tc>
      </w:tr>
      <w:tr w14:paraId="524E5FBA">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0EB867DD">
            <w:pPr>
              <w:jc w:val="left"/>
            </w:pPr>
            <w:r>
              <w:rPr>
                <w:rFonts w:ascii="Times New Roman" w:hAnsi="Times New Roman" w:eastAsia="Times New Roman" w:cs="Times New Roman"/>
                <w:b w:val="0"/>
                <w:bCs w:val="0"/>
                <w:i w:val="0"/>
                <w:iCs w:val="0"/>
                <w:sz w:val="19"/>
                <w:szCs w:val="19"/>
              </w:rPr>
              <w:t>VCO (V)</w:t>
            </w:r>
          </w:p>
        </w:tc>
        <w:tc>
          <w:tcPr>
            <w:tcW w:w="5900" w:type="dxa"/>
            <w:tcMar>
              <w:top w:w="60" w:type="dxa"/>
              <w:left w:w="100" w:type="dxa"/>
              <w:bottom w:w="60" w:type="dxa"/>
              <w:right w:w="100" w:type="dxa"/>
            </w:tcMar>
            <w:vAlign w:val="center"/>
          </w:tcPr>
          <w:p w14:paraId="2A428C74">
            <w:pPr>
              <w:jc w:val="center"/>
            </w:pPr>
            <w:r>
              <w:rPr>
                <w:rFonts w:ascii="Times New Roman" w:hAnsi="Times New Roman" w:eastAsia="Times New Roman" w:cs="Times New Roman"/>
                <w:b w:val="0"/>
                <w:bCs w:val="0"/>
                <w:i w:val="0"/>
                <w:iCs w:val="0"/>
                <w:sz w:val="19"/>
                <w:szCs w:val="19"/>
              </w:rPr>
              <w:t>34.00 ± 13.00</w:t>
            </w:r>
          </w:p>
        </w:tc>
      </w:tr>
      <w:tr w14:paraId="2F1E5250">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3DB888F6">
            <w:pPr>
              <w:jc w:val="left"/>
            </w:pPr>
            <w:r>
              <w:rPr>
                <w:rFonts w:ascii="Times New Roman" w:hAnsi="Times New Roman" w:eastAsia="Times New Roman" w:cs="Times New Roman"/>
                <w:b w:val="0"/>
                <w:bCs w:val="0"/>
                <w:i w:val="0"/>
                <w:iCs w:val="0"/>
                <w:sz w:val="19"/>
                <w:szCs w:val="19"/>
              </w:rPr>
              <w:t>Amnion (A)</w:t>
            </w:r>
          </w:p>
        </w:tc>
        <w:tc>
          <w:tcPr>
            <w:tcW w:w="5900" w:type="dxa"/>
            <w:tcMar>
              <w:top w:w="60" w:type="dxa"/>
              <w:left w:w="100" w:type="dxa"/>
              <w:bottom w:w="60" w:type="dxa"/>
              <w:right w:w="100" w:type="dxa"/>
            </w:tcMar>
            <w:vAlign w:val="center"/>
          </w:tcPr>
          <w:p w14:paraId="09B4FC5D">
            <w:pPr>
              <w:jc w:val="center"/>
            </w:pPr>
            <w:r>
              <w:rPr>
                <w:rFonts w:ascii="Times New Roman" w:hAnsi="Times New Roman" w:eastAsia="Times New Roman" w:cs="Times New Roman"/>
                <w:b w:val="0"/>
                <w:bCs w:val="0"/>
                <w:i w:val="0"/>
                <w:iCs w:val="0"/>
                <w:sz w:val="19"/>
                <w:szCs w:val="19"/>
              </w:rPr>
              <w:t>56.00 ± 31.00</w:t>
            </w:r>
          </w:p>
        </w:tc>
      </w:tr>
    </w:tbl>
    <w:p w14:paraId="2A53AA4A">
      <w:pPr>
        <w:keepNext w:val="0"/>
        <w:spacing w:before="0" w:after="200" w:line="276" w:lineRule="auto"/>
        <w:jc w:val="both"/>
      </w:pPr>
    </w:p>
    <w:p w14:paraId="18188C41">
      <w:pPr>
        <w:pStyle w:val="3"/>
        <w:spacing w:before="260" w:after="160"/>
      </w:pPr>
      <w:r>
        <w:rPr>
          <w:rFonts w:ascii="Times New Roman" w:hAnsi="Times New Roman" w:eastAsia="Times New Roman" w:cs="Times New Roman"/>
          <w:b/>
          <w:bCs/>
          <w:i/>
          <w:iCs/>
          <w:sz w:val="23"/>
          <w:szCs w:val="23"/>
        </w:rPr>
        <w:t>3.2 Histopathological Features and Inflammatory Cell Density</w:t>
      </w:r>
    </w:p>
    <w:p w14:paraId="1532CDF4">
      <w:pPr>
        <w:keepNext w:val="0"/>
        <w:spacing w:before="0" w:after="200" w:line="276" w:lineRule="auto"/>
        <w:jc w:val="both"/>
      </w:pPr>
      <w:r>
        <w:rPr>
          <w:rFonts w:ascii="Times New Roman" w:hAnsi="Times New Roman" w:eastAsia="Times New Roman" w:cs="Times New Roman"/>
          <w:b w:val="0"/>
          <w:bCs w:val="0"/>
          <w:i w:val="0"/>
          <w:iCs w:val="0"/>
          <w:sz w:val="22"/>
          <w:szCs w:val="22"/>
        </w:rPr>
        <w:t>On H&amp;E-stained sections (Figure 1), all three groups showed re-epithelialisation (E) and underlying dermal granulation tissue (G) at day 14. Qualitatively, granulation tissue in the VCO group showed a denser fibrocollagenous matrix and higher fibroblast content than the untreated control, though visibly less dense than the amnion group. Inflammatory cell infiltrate, comprising predominantly lymphocytes with neutrophils and macrophages, appeared qualitatively lower in the VCO group than in either comparator group.</w:t>
      </w:r>
    </w:p>
    <w:p w14:paraId="52E243BE">
      <w:pPr>
        <w:spacing w:before="100" w:after="260" w:line="264" w:lineRule="auto"/>
        <w:jc w:val="both"/>
      </w:pPr>
      <w:r>
        <w:rPr>
          <w:rFonts w:ascii="Times New Roman" w:hAnsi="Times New Roman" w:eastAsia="Times New Roman" w:cs="Times New Roman"/>
          <w:b/>
          <w:bCs/>
          <w:sz w:val="19"/>
          <w:szCs w:val="19"/>
        </w:rPr>
        <w:t xml:space="preserve">Figure 1. </w:t>
      </w:r>
      <w:r>
        <w:rPr>
          <w:rFonts w:ascii="Times New Roman" w:hAnsi="Times New Roman" w:eastAsia="Times New Roman" w:cs="Times New Roman"/>
          <w:sz w:val="19"/>
          <w:szCs w:val="19"/>
        </w:rPr>
        <w:t>Representative haematoxylin–eosin-stained sections of dorsal skin at day 14 post-burn in the control (left), VCO (middle) and amnion (right) groups, showing the re-epithelialised surface (E) and dermal granulation tissue (G). Objective magnification 4× (top row), 10× (middle row) and 40× (bottom row, inflammatory cells indicated by arrows). Scale bar = 200 μm.</w:t>
      </w:r>
    </w:p>
    <w:p w14:paraId="6F00C28B">
      <w:pPr>
        <w:spacing w:before="80" w:after="80"/>
        <w:jc w:val="center"/>
      </w:pPr>
      <w:r>
        <w:drawing>
          <wp:inline distT="0" distB="0" distL="0" distR="0">
            <wp:extent cx="447675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476750" cy="3333750"/>
                    </a:xfrm>
                    <a:prstGeom prst="rect">
                      <a:avLst/>
                    </a:prstGeom>
                  </pic:spPr>
                </pic:pic>
              </a:graphicData>
            </a:graphic>
          </wp:inline>
        </w:drawing>
      </w:r>
    </w:p>
    <w:p w14:paraId="680E2836">
      <w:pPr>
        <w:keepNext w:val="0"/>
        <w:spacing w:before="200" w:after="200" w:line="276" w:lineRule="auto"/>
        <w:jc w:val="both"/>
      </w:pPr>
      <w:r>
        <w:rPr>
          <w:rFonts w:ascii="Times New Roman" w:hAnsi="Times New Roman" w:eastAsia="Times New Roman" w:cs="Times New Roman"/>
          <w:b w:val="0"/>
          <w:bCs w:val="0"/>
          <w:i w:val="0"/>
          <w:iCs w:val="0"/>
          <w:sz w:val="22"/>
          <w:szCs w:val="22"/>
        </w:rPr>
        <w:t>Quantitative counting confirmed this impression (Table 2). One-way ANOVA showed a significant overall difference in inflammatory cell density among groups (F = 17.61, p &lt; 0.0001). On Tukey HSD post hoc testing, the VCO group had significantly fewer inflammatory cells than both the control group (mean difference 27.94; p = 0.0004) and the amnion group (mean difference 40.80; p &lt; 0.0001), while the control and amnion groups did not differ significantly from one another (p = 0.165).</w:t>
      </w:r>
    </w:p>
    <w:p w14:paraId="0F0BACE5">
      <w:pPr>
        <w:spacing w:before="200" w:after="120" w:line="264" w:lineRule="auto"/>
        <w:jc w:val="both"/>
      </w:pPr>
      <w:r>
        <w:rPr>
          <w:rFonts w:ascii="Times New Roman" w:hAnsi="Times New Roman" w:eastAsia="Times New Roman" w:cs="Times New Roman"/>
          <w:b/>
          <w:bCs/>
          <w:sz w:val="19"/>
          <w:szCs w:val="19"/>
        </w:rPr>
        <w:t xml:space="preserve">Table 2. </w:t>
      </w:r>
      <w:r>
        <w:rPr>
          <w:rFonts w:ascii="Times New Roman" w:hAnsi="Times New Roman" w:eastAsia="Times New Roman" w:cs="Times New Roman"/>
          <w:sz w:val="19"/>
          <w:szCs w:val="19"/>
        </w:rPr>
        <w:t>Inflammatory cell density in dermal granulation tissue at day 14 post-burn (mean number of inflammatory cells per field ± SD).</w:t>
      </w:r>
    </w:p>
    <w:tbl>
      <w:tblPr>
        <w:tblStyle w:val="9"/>
        <w:tblW w:w="9500" w:type="dxa"/>
        <w:tblInd w:w="0" w:type="dxa"/>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Layout w:type="autofit"/>
        <w:tblCellMar>
          <w:top w:w="0" w:type="dxa"/>
          <w:left w:w="10" w:type="dxa"/>
          <w:bottom w:w="0" w:type="dxa"/>
          <w:right w:w="10" w:type="dxa"/>
        </w:tblCellMar>
      </w:tblPr>
      <w:tblGrid>
        <w:gridCol w:w="3200"/>
        <w:gridCol w:w="900"/>
        <w:gridCol w:w="3600"/>
        <w:gridCol w:w="1800"/>
      </w:tblGrid>
      <w:tr w14:paraId="31F59201">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7276E12F">
            <w:pPr>
              <w:jc w:val="center"/>
            </w:pPr>
            <w:r>
              <w:rPr>
                <w:rFonts w:ascii="Times New Roman" w:hAnsi="Times New Roman" w:eastAsia="Times New Roman" w:cs="Times New Roman"/>
                <w:b/>
                <w:bCs/>
                <w:i w:val="0"/>
                <w:iCs w:val="0"/>
                <w:sz w:val="19"/>
                <w:szCs w:val="19"/>
              </w:rPr>
              <w:t>Treatment Group</w:t>
            </w:r>
          </w:p>
        </w:tc>
        <w:tc>
          <w:tcPr>
            <w:tcW w:w="900" w:type="dxa"/>
            <w:shd w:val="clear" w:color="auto" w:fill="D9E2F3"/>
            <w:tcMar>
              <w:top w:w="60" w:type="dxa"/>
              <w:left w:w="100" w:type="dxa"/>
              <w:bottom w:w="60" w:type="dxa"/>
              <w:right w:w="100" w:type="dxa"/>
            </w:tcMar>
            <w:vAlign w:val="center"/>
          </w:tcPr>
          <w:p w14:paraId="6BB7AA08">
            <w:pPr>
              <w:jc w:val="center"/>
            </w:pPr>
            <w:r>
              <w:rPr>
                <w:rFonts w:ascii="Times New Roman" w:hAnsi="Times New Roman" w:eastAsia="Times New Roman" w:cs="Times New Roman"/>
                <w:b/>
                <w:bCs/>
                <w:i w:val="0"/>
                <w:iCs w:val="0"/>
                <w:sz w:val="19"/>
                <w:szCs w:val="19"/>
              </w:rPr>
              <w:t>n</w:t>
            </w:r>
          </w:p>
        </w:tc>
        <w:tc>
          <w:tcPr>
            <w:tcW w:w="3600" w:type="dxa"/>
            <w:shd w:val="clear" w:color="auto" w:fill="D9E2F3"/>
            <w:tcMar>
              <w:top w:w="60" w:type="dxa"/>
              <w:left w:w="100" w:type="dxa"/>
              <w:bottom w:w="60" w:type="dxa"/>
              <w:right w:w="100" w:type="dxa"/>
            </w:tcMar>
            <w:vAlign w:val="center"/>
          </w:tcPr>
          <w:p w14:paraId="53AC1F9F">
            <w:pPr>
              <w:jc w:val="center"/>
            </w:pPr>
            <w:r>
              <w:rPr>
                <w:rFonts w:ascii="Times New Roman" w:hAnsi="Times New Roman" w:eastAsia="Times New Roman" w:cs="Times New Roman"/>
                <w:b/>
                <w:bCs/>
                <w:i w:val="0"/>
                <w:iCs w:val="0"/>
                <w:sz w:val="19"/>
                <w:szCs w:val="19"/>
              </w:rPr>
              <w:t>Inflammatory Cell Count (mean ± SD)</w:t>
            </w:r>
          </w:p>
        </w:tc>
        <w:tc>
          <w:tcPr>
            <w:tcW w:w="1800" w:type="dxa"/>
            <w:shd w:val="clear" w:color="auto" w:fill="D9E2F3"/>
            <w:tcMar>
              <w:top w:w="60" w:type="dxa"/>
              <w:left w:w="100" w:type="dxa"/>
              <w:bottom w:w="60" w:type="dxa"/>
              <w:right w:w="100" w:type="dxa"/>
            </w:tcMar>
            <w:vAlign w:val="center"/>
          </w:tcPr>
          <w:p w14:paraId="5C8010E3">
            <w:pPr>
              <w:jc w:val="center"/>
            </w:pPr>
            <w:r>
              <w:rPr>
                <w:rFonts w:ascii="Times New Roman" w:hAnsi="Times New Roman" w:eastAsia="Times New Roman" w:cs="Times New Roman"/>
                <w:b/>
                <w:bCs/>
                <w:i w:val="0"/>
                <w:iCs w:val="0"/>
                <w:sz w:val="19"/>
                <w:szCs w:val="19"/>
              </w:rPr>
              <w:t>ANOVA p</w:t>
            </w:r>
          </w:p>
        </w:tc>
      </w:tr>
      <w:tr w14:paraId="19E583F2">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766C41D">
            <w:pPr>
              <w:jc w:val="left"/>
            </w:pPr>
            <w:r>
              <w:rPr>
                <w:rFonts w:ascii="Times New Roman" w:hAnsi="Times New Roman" w:eastAsia="Times New Roman" w:cs="Times New Roman"/>
                <w:b w:val="0"/>
                <w:bCs w:val="0"/>
                <w:i w:val="0"/>
                <w:iCs w:val="0"/>
                <w:sz w:val="19"/>
                <w:szCs w:val="19"/>
              </w:rPr>
              <w:t>Control (K)</w:t>
            </w:r>
          </w:p>
        </w:tc>
        <w:tc>
          <w:tcPr>
            <w:tcW w:w="900" w:type="dxa"/>
            <w:tcMar>
              <w:top w:w="60" w:type="dxa"/>
              <w:left w:w="100" w:type="dxa"/>
              <w:bottom w:w="60" w:type="dxa"/>
              <w:right w:w="100" w:type="dxa"/>
            </w:tcMar>
            <w:vAlign w:val="center"/>
          </w:tcPr>
          <w:p w14:paraId="351A4EE9">
            <w:pPr>
              <w:jc w:val="center"/>
            </w:pPr>
            <w:r>
              <w:rPr>
                <w:rFonts w:ascii="Times New Roman" w:hAnsi="Times New Roman" w:eastAsia="Times New Roman" w:cs="Times New Roman"/>
                <w:b w:val="0"/>
                <w:bCs w:val="0"/>
                <w:i w:val="0"/>
                <w:iCs w:val="0"/>
                <w:sz w:val="19"/>
                <w:szCs w:val="19"/>
              </w:rPr>
              <w:t>7</w:t>
            </w:r>
          </w:p>
        </w:tc>
        <w:tc>
          <w:tcPr>
            <w:tcW w:w="3600" w:type="dxa"/>
            <w:tcMar>
              <w:top w:w="60" w:type="dxa"/>
              <w:left w:w="100" w:type="dxa"/>
              <w:bottom w:w="60" w:type="dxa"/>
              <w:right w:w="100" w:type="dxa"/>
            </w:tcMar>
            <w:vAlign w:val="center"/>
          </w:tcPr>
          <w:p w14:paraId="009B8513">
            <w:pPr>
              <w:jc w:val="center"/>
            </w:pPr>
            <w:r>
              <w:rPr>
                <w:rFonts w:ascii="Times New Roman" w:hAnsi="Times New Roman" w:eastAsia="Times New Roman" w:cs="Times New Roman"/>
                <w:b w:val="0"/>
                <w:bCs w:val="0"/>
                <w:i w:val="0"/>
                <w:iCs w:val="0"/>
                <w:sz w:val="19"/>
                <w:szCs w:val="19"/>
              </w:rPr>
              <w:t>131.57 ± 30.85</w:t>
            </w:r>
          </w:p>
        </w:tc>
        <w:tc>
          <w:tcPr>
            <w:tcW w:w="1800" w:type="dxa"/>
            <w:tcMar>
              <w:top w:w="60" w:type="dxa"/>
              <w:left w:w="100" w:type="dxa"/>
              <w:bottom w:w="60" w:type="dxa"/>
              <w:right w:w="100" w:type="dxa"/>
            </w:tcMar>
            <w:vAlign w:val="center"/>
          </w:tcPr>
          <w:p w14:paraId="59F5A711">
            <w:pPr>
              <w:jc w:val="center"/>
            </w:pPr>
          </w:p>
        </w:tc>
      </w:tr>
      <w:tr w14:paraId="56EA0CAA">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D3A5F22">
            <w:pPr>
              <w:jc w:val="left"/>
            </w:pPr>
            <w:r>
              <w:rPr>
                <w:rFonts w:ascii="Times New Roman" w:hAnsi="Times New Roman" w:eastAsia="Times New Roman" w:cs="Times New Roman"/>
                <w:b w:val="0"/>
                <w:bCs w:val="0"/>
                <w:i w:val="0"/>
                <w:iCs w:val="0"/>
                <w:sz w:val="19"/>
                <w:szCs w:val="19"/>
              </w:rPr>
              <w:t>VCO (V)</w:t>
            </w:r>
          </w:p>
        </w:tc>
        <w:tc>
          <w:tcPr>
            <w:tcW w:w="900" w:type="dxa"/>
            <w:tcMar>
              <w:top w:w="60" w:type="dxa"/>
              <w:left w:w="100" w:type="dxa"/>
              <w:bottom w:w="60" w:type="dxa"/>
              <w:right w:w="100" w:type="dxa"/>
            </w:tcMar>
            <w:vAlign w:val="center"/>
          </w:tcPr>
          <w:p w14:paraId="0F33932E">
            <w:pPr>
              <w:jc w:val="center"/>
            </w:pPr>
            <w:r>
              <w:rPr>
                <w:rFonts w:ascii="Times New Roman" w:hAnsi="Times New Roman" w:eastAsia="Times New Roman" w:cs="Times New Roman"/>
                <w:b w:val="0"/>
                <w:bCs w:val="0"/>
                <w:i w:val="0"/>
                <w:iCs w:val="0"/>
                <w:sz w:val="19"/>
                <w:szCs w:val="19"/>
              </w:rPr>
              <w:t>9</w:t>
            </w:r>
          </w:p>
        </w:tc>
        <w:tc>
          <w:tcPr>
            <w:tcW w:w="3600" w:type="dxa"/>
            <w:tcMar>
              <w:top w:w="60" w:type="dxa"/>
              <w:left w:w="100" w:type="dxa"/>
              <w:bottom w:w="60" w:type="dxa"/>
              <w:right w:w="100" w:type="dxa"/>
            </w:tcMar>
            <w:vAlign w:val="center"/>
          </w:tcPr>
          <w:p w14:paraId="16FEFD92">
            <w:pPr>
              <w:jc w:val="center"/>
            </w:pPr>
            <w:r>
              <w:rPr>
                <w:rFonts w:ascii="Times New Roman" w:hAnsi="Times New Roman" w:eastAsia="Times New Roman" w:cs="Times New Roman"/>
                <w:b w:val="0"/>
                <w:bCs w:val="0"/>
                <w:i w:val="0"/>
                <w:iCs w:val="0"/>
                <w:sz w:val="19"/>
                <w:szCs w:val="19"/>
              </w:rPr>
              <w:t>103.63 ± 30.75 a,b</w:t>
            </w:r>
          </w:p>
        </w:tc>
        <w:tc>
          <w:tcPr>
            <w:tcW w:w="1800" w:type="dxa"/>
            <w:tcMar>
              <w:top w:w="60" w:type="dxa"/>
              <w:left w:w="100" w:type="dxa"/>
              <w:bottom w:w="60" w:type="dxa"/>
              <w:right w:w="100" w:type="dxa"/>
            </w:tcMar>
            <w:vAlign w:val="center"/>
          </w:tcPr>
          <w:p w14:paraId="737DEA83">
            <w:pPr>
              <w:jc w:val="center"/>
            </w:pPr>
            <w:r>
              <w:rPr>
                <w:rFonts w:ascii="Times New Roman" w:hAnsi="Times New Roman" w:eastAsia="Times New Roman" w:cs="Times New Roman"/>
                <w:b w:val="0"/>
                <w:bCs w:val="0"/>
                <w:i w:val="0"/>
                <w:iCs w:val="0"/>
                <w:sz w:val="19"/>
                <w:szCs w:val="19"/>
              </w:rPr>
              <w:t>&lt; 0.0001</w:t>
            </w:r>
          </w:p>
        </w:tc>
      </w:tr>
      <w:tr w14:paraId="617DFA43">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9D7E3E6">
            <w:pPr>
              <w:jc w:val="left"/>
            </w:pPr>
            <w:r>
              <w:rPr>
                <w:rFonts w:ascii="Times New Roman" w:hAnsi="Times New Roman" w:eastAsia="Times New Roman" w:cs="Times New Roman"/>
                <w:b w:val="0"/>
                <w:bCs w:val="0"/>
                <w:i w:val="0"/>
                <w:iCs w:val="0"/>
                <w:sz w:val="19"/>
                <w:szCs w:val="19"/>
              </w:rPr>
              <w:t>Amnion (A)</w:t>
            </w:r>
          </w:p>
        </w:tc>
        <w:tc>
          <w:tcPr>
            <w:tcW w:w="900" w:type="dxa"/>
            <w:tcMar>
              <w:top w:w="60" w:type="dxa"/>
              <w:left w:w="100" w:type="dxa"/>
              <w:bottom w:w="60" w:type="dxa"/>
              <w:right w:w="100" w:type="dxa"/>
            </w:tcMar>
            <w:vAlign w:val="center"/>
          </w:tcPr>
          <w:p w14:paraId="480A4D17">
            <w:pPr>
              <w:jc w:val="center"/>
            </w:pPr>
            <w:r>
              <w:rPr>
                <w:rFonts w:ascii="Times New Roman" w:hAnsi="Times New Roman" w:eastAsia="Times New Roman" w:cs="Times New Roman"/>
                <w:b w:val="0"/>
                <w:bCs w:val="0"/>
                <w:i w:val="0"/>
                <w:iCs w:val="0"/>
                <w:sz w:val="19"/>
                <w:szCs w:val="19"/>
              </w:rPr>
              <w:t>7</w:t>
            </w:r>
          </w:p>
        </w:tc>
        <w:tc>
          <w:tcPr>
            <w:tcW w:w="3600" w:type="dxa"/>
            <w:tcMar>
              <w:top w:w="60" w:type="dxa"/>
              <w:left w:w="100" w:type="dxa"/>
              <w:bottom w:w="60" w:type="dxa"/>
              <w:right w:w="100" w:type="dxa"/>
            </w:tcMar>
            <w:vAlign w:val="center"/>
          </w:tcPr>
          <w:p w14:paraId="1AD639DB">
            <w:pPr>
              <w:jc w:val="center"/>
            </w:pPr>
            <w:r>
              <w:rPr>
                <w:rFonts w:ascii="Times New Roman" w:hAnsi="Times New Roman" w:eastAsia="Times New Roman" w:cs="Times New Roman"/>
                <w:b w:val="0"/>
                <w:bCs w:val="0"/>
                <w:i w:val="0"/>
                <w:iCs w:val="0"/>
                <w:sz w:val="19"/>
                <w:szCs w:val="19"/>
              </w:rPr>
              <w:t>144.43 ± 26.41 c</w:t>
            </w:r>
          </w:p>
        </w:tc>
        <w:tc>
          <w:tcPr>
            <w:tcW w:w="1800" w:type="dxa"/>
            <w:tcMar>
              <w:top w:w="60" w:type="dxa"/>
              <w:left w:w="100" w:type="dxa"/>
              <w:bottom w:w="60" w:type="dxa"/>
              <w:right w:w="100" w:type="dxa"/>
            </w:tcMar>
            <w:vAlign w:val="center"/>
          </w:tcPr>
          <w:p w14:paraId="7A05DA99">
            <w:pPr>
              <w:jc w:val="center"/>
            </w:pPr>
          </w:p>
        </w:tc>
      </w:tr>
    </w:tbl>
    <w:p w14:paraId="6C8D5E5C">
      <w:pPr>
        <w:keepNext w:val="0"/>
        <w:spacing w:before="0" w:after="260" w:line="276" w:lineRule="auto"/>
        <w:jc w:val="left"/>
      </w:pPr>
      <w:r>
        <w:rPr>
          <w:rFonts w:ascii="Times New Roman" w:hAnsi="Times New Roman" w:eastAsia="Times New Roman" w:cs="Times New Roman"/>
          <w:b w:val="0"/>
          <w:bCs w:val="0"/>
          <w:i w:val="0"/>
          <w:iCs w:val="0"/>
          <w:sz w:val="18"/>
          <w:szCs w:val="18"/>
        </w:rPr>
        <w:t>a Significantly different from control (K), p &lt; 0.05. b Significantly different from amnion (A), p &lt; 0.05. c Not significantly different from control (K), p &gt; 0.05.</w:t>
      </w:r>
    </w:p>
    <w:p w14:paraId="2490CAC2">
      <w:pPr>
        <w:pStyle w:val="3"/>
        <w:spacing w:before="260" w:after="160"/>
      </w:pPr>
      <w:r>
        <w:rPr>
          <w:rFonts w:ascii="Times New Roman" w:hAnsi="Times New Roman" w:eastAsia="Times New Roman" w:cs="Times New Roman"/>
          <w:b/>
          <w:bCs/>
          <w:i/>
          <w:iCs/>
          <w:sz w:val="23"/>
          <w:szCs w:val="23"/>
        </w:rPr>
        <w:t>3.3 Type I Collagen Expression</w:t>
      </w:r>
    </w:p>
    <w:p w14:paraId="17734452">
      <w:pPr>
        <w:keepNext w:val="0"/>
        <w:spacing w:before="0" w:after="200" w:line="276" w:lineRule="auto"/>
        <w:jc w:val="both"/>
      </w:pPr>
      <w:r>
        <w:rPr>
          <w:rFonts w:ascii="Times New Roman" w:hAnsi="Times New Roman" w:eastAsia="Times New Roman" w:cs="Times New Roman"/>
          <w:b w:val="0"/>
          <w:bCs w:val="0"/>
          <w:i w:val="0"/>
          <w:iCs w:val="0"/>
          <w:sz w:val="22"/>
          <w:szCs w:val="22"/>
        </w:rPr>
        <w:t>Immunohistochemical staining for collagen type I (Figure 2) showed a brown-stained extracellular matrix within the dermal granulation tissue in all groups. Compared with the control group, the VCO group showed a qualitatively larger stained area and greater staining intensity within the granulation tissue; staining intensity in the VCO group was, however, visibly lower than in the amnion group.</w:t>
      </w:r>
    </w:p>
    <w:p w14:paraId="7A39012E">
      <w:pPr>
        <w:spacing w:before="100" w:after="260" w:line="264" w:lineRule="auto"/>
        <w:jc w:val="both"/>
      </w:pPr>
      <w:r>
        <w:rPr>
          <w:rFonts w:ascii="Times New Roman" w:hAnsi="Times New Roman" w:eastAsia="Times New Roman" w:cs="Times New Roman"/>
          <w:b/>
          <w:bCs/>
          <w:sz w:val="19"/>
          <w:szCs w:val="19"/>
        </w:rPr>
        <w:t xml:space="preserve">Figure 2. </w:t>
      </w:r>
      <w:r>
        <w:rPr>
          <w:rFonts w:ascii="Times New Roman" w:hAnsi="Times New Roman" w:eastAsia="Times New Roman" w:cs="Times New Roman"/>
          <w:sz w:val="19"/>
          <w:szCs w:val="19"/>
        </w:rPr>
        <w:t>Immunohistochemical staining for type I collagen (brown, DAB chromogen) in dorsal skin at day 14 post-burn in the control (left), VCO (middle) and amnion (right) groups, showing the re-epithelialised surface (E) and dermal granulation tissue (G). Objective magnification 4× (top row) and 40× (bottom row). Scale bar = 200 μm.</w:t>
      </w:r>
    </w:p>
    <w:p w14:paraId="61F94B62">
      <w:pPr>
        <w:spacing w:before="80" w:after="80"/>
        <w:jc w:val="center"/>
      </w:pPr>
      <w:r>
        <w:drawing>
          <wp:inline distT="0" distB="0" distL="0" distR="0">
            <wp:extent cx="447675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476750" cy="2476500"/>
                    </a:xfrm>
                    <a:prstGeom prst="rect">
                      <a:avLst/>
                    </a:prstGeom>
                  </pic:spPr>
                </pic:pic>
              </a:graphicData>
            </a:graphic>
          </wp:inline>
        </w:drawing>
      </w:r>
    </w:p>
    <w:p w14:paraId="22437FC6">
      <w:pPr>
        <w:keepNext w:val="0"/>
        <w:spacing w:before="200" w:after="200" w:line="276" w:lineRule="auto"/>
        <w:jc w:val="both"/>
      </w:pPr>
      <w:r>
        <w:rPr>
          <w:rFonts w:ascii="Times New Roman" w:hAnsi="Times New Roman" w:eastAsia="Times New Roman" w:cs="Times New Roman"/>
          <w:b w:val="0"/>
          <w:bCs w:val="0"/>
          <w:i w:val="0"/>
          <w:iCs w:val="0"/>
          <w:sz w:val="22"/>
          <w:szCs w:val="22"/>
        </w:rPr>
        <w:t>Quantification of the percentage collagen-positive area (Table 3) confirmed a significant overall difference among groups (one-way ANOVA, p &lt; 0.0001). On Tukey HSD post hoc analysis, mean collagen type I expression in the VCO group was significantly higher than in the untreated control (mean difference 11.26% area; p &lt; 0.0001), while the difference between the VCO and amnion groups (mean difference 4.37% area) was not statistically significant (p = 0.184). Collagen expression in the amnion group was also significantly higher than in the control group (p &lt; 0.0001).</w:t>
      </w:r>
    </w:p>
    <w:p w14:paraId="349B8595">
      <w:pPr>
        <w:spacing w:before="200" w:after="120" w:line="264" w:lineRule="auto"/>
        <w:jc w:val="both"/>
      </w:pPr>
      <w:r>
        <w:rPr>
          <w:rFonts w:ascii="Times New Roman" w:hAnsi="Times New Roman" w:eastAsia="Times New Roman" w:cs="Times New Roman"/>
          <w:b/>
          <w:bCs/>
          <w:sz w:val="19"/>
          <w:szCs w:val="19"/>
        </w:rPr>
        <w:t xml:space="preserve">Table 3. </w:t>
      </w:r>
      <w:r>
        <w:rPr>
          <w:rFonts w:ascii="Times New Roman" w:hAnsi="Times New Roman" w:eastAsia="Times New Roman" w:cs="Times New Roman"/>
          <w:sz w:val="19"/>
          <w:szCs w:val="19"/>
        </w:rPr>
        <w:t>Type I collagen expression in dermal granulation tissue at day 14 post-burn, quantified as percentage positively stained area.</w:t>
      </w:r>
    </w:p>
    <w:tbl>
      <w:tblPr>
        <w:tblStyle w:val="9"/>
        <w:tblW w:w="9500" w:type="dxa"/>
        <w:tblInd w:w="0" w:type="dxa"/>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Layout w:type="autofit"/>
        <w:tblCellMar>
          <w:top w:w="0" w:type="dxa"/>
          <w:left w:w="10" w:type="dxa"/>
          <w:bottom w:w="0" w:type="dxa"/>
          <w:right w:w="10" w:type="dxa"/>
        </w:tblCellMar>
      </w:tblPr>
      <w:tblGrid>
        <w:gridCol w:w="3200"/>
        <w:gridCol w:w="900"/>
        <w:gridCol w:w="3600"/>
        <w:gridCol w:w="1800"/>
      </w:tblGrid>
      <w:tr w14:paraId="0ED39881">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6E9BD89C">
            <w:pPr>
              <w:jc w:val="center"/>
            </w:pPr>
            <w:r>
              <w:rPr>
                <w:rFonts w:ascii="Times New Roman" w:hAnsi="Times New Roman" w:eastAsia="Times New Roman" w:cs="Times New Roman"/>
                <w:b/>
                <w:bCs/>
                <w:i w:val="0"/>
                <w:iCs w:val="0"/>
                <w:sz w:val="19"/>
                <w:szCs w:val="19"/>
              </w:rPr>
              <w:t>Treatment Group</w:t>
            </w:r>
          </w:p>
        </w:tc>
        <w:tc>
          <w:tcPr>
            <w:tcW w:w="900" w:type="dxa"/>
            <w:shd w:val="clear" w:color="auto" w:fill="D9E2F3"/>
            <w:tcMar>
              <w:top w:w="60" w:type="dxa"/>
              <w:left w:w="100" w:type="dxa"/>
              <w:bottom w:w="60" w:type="dxa"/>
              <w:right w:w="100" w:type="dxa"/>
            </w:tcMar>
            <w:vAlign w:val="center"/>
          </w:tcPr>
          <w:p w14:paraId="30B11CCB">
            <w:pPr>
              <w:jc w:val="center"/>
            </w:pPr>
            <w:r>
              <w:rPr>
                <w:rFonts w:ascii="Times New Roman" w:hAnsi="Times New Roman" w:eastAsia="Times New Roman" w:cs="Times New Roman"/>
                <w:b/>
                <w:bCs/>
                <w:i w:val="0"/>
                <w:iCs w:val="0"/>
                <w:sz w:val="19"/>
                <w:szCs w:val="19"/>
              </w:rPr>
              <w:t>n</w:t>
            </w:r>
          </w:p>
        </w:tc>
        <w:tc>
          <w:tcPr>
            <w:tcW w:w="3600" w:type="dxa"/>
            <w:shd w:val="clear" w:color="auto" w:fill="D9E2F3"/>
            <w:tcMar>
              <w:top w:w="60" w:type="dxa"/>
              <w:left w:w="100" w:type="dxa"/>
              <w:bottom w:w="60" w:type="dxa"/>
              <w:right w:w="100" w:type="dxa"/>
            </w:tcMar>
            <w:vAlign w:val="center"/>
          </w:tcPr>
          <w:p w14:paraId="2C799C66">
            <w:pPr>
              <w:jc w:val="center"/>
            </w:pPr>
            <w:r>
              <w:rPr>
                <w:rFonts w:ascii="Times New Roman" w:hAnsi="Times New Roman" w:eastAsia="Times New Roman" w:cs="Times New Roman"/>
                <w:b/>
                <w:bCs/>
                <w:i w:val="0"/>
                <w:iCs w:val="0"/>
                <w:sz w:val="19"/>
                <w:szCs w:val="19"/>
              </w:rPr>
              <w:t>Type I Collagen (% area, mean ± SD)</w:t>
            </w:r>
          </w:p>
        </w:tc>
        <w:tc>
          <w:tcPr>
            <w:tcW w:w="1800" w:type="dxa"/>
            <w:shd w:val="clear" w:color="auto" w:fill="D9E2F3"/>
            <w:tcMar>
              <w:top w:w="60" w:type="dxa"/>
              <w:left w:w="100" w:type="dxa"/>
              <w:bottom w:w="60" w:type="dxa"/>
              <w:right w:w="100" w:type="dxa"/>
            </w:tcMar>
            <w:vAlign w:val="center"/>
          </w:tcPr>
          <w:p w14:paraId="63FB42B2">
            <w:pPr>
              <w:jc w:val="center"/>
            </w:pPr>
            <w:r>
              <w:rPr>
                <w:rFonts w:ascii="Times New Roman" w:hAnsi="Times New Roman" w:eastAsia="Times New Roman" w:cs="Times New Roman"/>
                <w:b/>
                <w:bCs/>
                <w:i w:val="0"/>
                <w:iCs w:val="0"/>
                <w:sz w:val="19"/>
                <w:szCs w:val="19"/>
              </w:rPr>
              <w:t>ANOVA p</w:t>
            </w:r>
          </w:p>
        </w:tc>
      </w:tr>
      <w:tr w14:paraId="37FA5ABE">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C4D9EAA">
            <w:pPr>
              <w:jc w:val="left"/>
            </w:pPr>
            <w:r>
              <w:rPr>
                <w:rFonts w:ascii="Times New Roman" w:hAnsi="Times New Roman" w:eastAsia="Times New Roman" w:cs="Times New Roman"/>
                <w:b w:val="0"/>
                <w:bCs w:val="0"/>
                <w:i w:val="0"/>
                <w:iCs w:val="0"/>
                <w:sz w:val="19"/>
                <w:szCs w:val="19"/>
              </w:rPr>
              <w:t>Control (K)</w:t>
            </w:r>
          </w:p>
        </w:tc>
        <w:tc>
          <w:tcPr>
            <w:tcW w:w="900" w:type="dxa"/>
            <w:tcMar>
              <w:top w:w="60" w:type="dxa"/>
              <w:left w:w="100" w:type="dxa"/>
              <w:bottom w:w="60" w:type="dxa"/>
              <w:right w:w="100" w:type="dxa"/>
            </w:tcMar>
            <w:vAlign w:val="center"/>
          </w:tcPr>
          <w:p w14:paraId="19CE0976">
            <w:pPr>
              <w:jc w:val="center"/>
            </w:pPr>
            <w:r>
              <w:rPr>
                <w:rFonts w:ascii="Times New Roman" w:hAnsi="Times New Roman" w:eastAsia="Times New Roman" w:cs="Times New Roman"/>
                <w:b w:val="0"/>
                <w:bCs w:val="0"/>
                <w:i w:val="0"/>
                <w:iCs w:val="0"/>
                <w:sz w:val="19"/>
                <w:szCs w:val="19"/>
              </w:rPr>
              <w:t>7</w:t>
            </w:r>
          </w:p>
        </w:tc>
        <w:tc>
          <w:tcPr>
            <w:tcW w:w="3600" w:type="dxa"/>
            <w:tcMar>
              <w:top w:w="60" w:type="dxa"/>
              <w:left w:w="100" w:type="dxa"/>
              <w:bottom w:w="60" w:type="dxa"/>
              <w:right w:w="100" w:type="dxa"/>
            </w:tcMar>
            <w:vAlign w:val="center"/>
          </w:tcPr>
          <w:p w14:paraId="29C39908">
            <w:pPr>
              <w:jc w:val="center"/>
            </w:pPr>
            <w:r>
              <w:rPr>
                <w:rFonts w:ascii="Times New Roman" w:hAnsi="Times New Roman" w:eastAsia="Times New Roman" w:cs="Times New Roman"/>
                <w:b w:val="0"/>
                <w:bCs w:val="0"/>
                <w:i w:val="0"/>
                <w:iCs w:val="0"/>
                <w:sz w:val="19"/>
                <w:szCs w:val="19"/>
              </w:rPr>
              <w:t>33.157 ± 9.352</w:t>
            </w:r>
          </w:p>
        </w:tc>
        <w:tc>
          <w:tcPr>
            <w:tcW w:w="1800" w:type="dxa"/>
            <w:tcMar>
              <w:top w:w="60" w:type="dxa"/>
              <w:left w:w="100" w:type="dxa"/>
              <w:bottom w:w="60" w:type="dxa"/>
              <w:right w:w="100" w:type="dxa"/>
            </w:tcMar>
            <w:vAlign w:val="center"/>
          </w:tcPr>
          <w:p w14:paraId="00CB9101">
            <w:pPr>
              <w:jc w:val="center"/>
            </w:pPr>
          </w:p>
        </w:tc>
      </w:tr>
      <w:tr w14:paraId="2F65521D">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F7D3654">
            <w:pPr>
              <w:jc w:val="left"/>
            </w:pPr>
            <w:r>
              <w:rPr>
                <w:rFonts w:ascii="Times New Roman" w:hAnsi="Times New Roman" w:eastAsia="Times New Roman" w:cs="Times New Roman"/>
                <w:b w:val="0"/>
                <w:bCs w:val="0"/>
                <w:i w:val="0"/>
                <w:iCs w:val="0"/>
                <w:sz w:val="19"/>
                <w:szCs w:val="19"/>
              </w:rPr>
              <w:t>VCO (V)</w:t>
            </w:r>
          </w:p>
        </w:tc>
        <w:tc>
          <w:tcPr>
            <w:tcW w:w="900" w:type="dxa"/>
            <w:tcMar>
              <w:top w:w="60" w:type="dxa"/>
              <w:left w:w="100" w:type="dxa"/>
              <w:bottom w:w="60" w:type="dxa"/>
              <w:right w:w="100" w:type="dxa"/>
            </w:tcMar>
            <w:vAlign w:val="center"/>
          </w:tcPr>
          <w:p w14:paraId="6C6BBFFD">
            <w:pPr>
              <w:jc w:val="center"/>
            </w:pPr>
            <w:r>
              <w:rPr>
                <w:rFonts w:ascii="Times New Roman" w:hAnsi="Times New Roman" w:eastAsia="Times New Roman" w:cs="Times New Roman"/>
                <w:b w:val="0"/>
                <w:bCs w:val="0"/>
                <w:i w:val="0"/>
                <w:iCs w:val="0"/>
                <w:sz w:val="19"/>
                <w:szCs w:val="19"/>
              </w:rPr>
              <w:t>9</w:t>
            </w:r>
          </w:p>
        </w:tc>
        <w:tc>
          <w:tcPr>
            <w:tcW w:w="3600" w:type="dxa"/>
            <w:tcMar>
              <w:top w:w="60" w:type="dxa"/>
              <w:left w:w="100" w:type="dxa"/>
              <w:bottom w:w="60" w:type="dxa"/>
              <w:right w:w="100" w:type="dxa"/>
            </w:tcMar>
            <w:vAlign w:val="center"/>
          </w:tcPr>
          <w:p w14:paraId="75C9563E">
            <w:pPr>
              <w:jc w:val="center"/>
            </w:pPr>
            <w:r>
              <w:rPr>
                <w:rFonts w:ascii="Times New Roman" w:hAnsi="Times New Roman" w:eastAsia="Times New Roman" w:cs="Times New Roman"/>
                <w:b w:val="0"/>
                <w:bCs w:val="0"/>
                <w:i w:val="0"/>
                <w:iCs w:val="0"/>
                <w:sz w:val="19"/>
                <w:szCs w:val="19"/>
              </w:rPr>
              <w:t>44.417 ± 6.519 a,b</w:t>
            </w:r>
          </w:p>
        </w:tc>
        <w:tc>
          <w:tcPr>
            <w:tcW w:w="1800" w:type="dxa"/>
            <w:tcMar>
              <w:top w:w="60" w:type="dxa"/>
              <w:left w:w="100" w:type="dxa"/>
              <w:bottom w:w="60" w:type="dxa"/>
              <w:right w:w="100" w:type="dxa"/>
            </w:tcMar>
            <w:vAlign w:val="center"/>
          </w:tcPr>
          <w:p w14:paraId="0843A180">
            <w:pPr>
              <w:jc w:val="center"/>
            </w:pPr>
            <w:r>
              <w:rPr>
                <w:rFonts w:ascii="Times New Roman" w:hAnsi="Times New Roman" w:eastAsia="Times New Roman" w:cs="Times New Roman"/>
                <w:b w:val="0"/>
                <w:bCs w:val="0"/>
                <w:i w:val="0"/>
                <w:iCs w:val="0"/>
                <w:sz w:val="19"/>
                <w:szCs w:val="19"/>
              </w:rPr>
              <w:t>&lt; 0.0001</w:t>
            </w:r>
          </w:p>
        </w:tc>
      </w:tr>
      <w:tr w14:paraId="34D97AC5">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86709C7">
            <w:pPr>
              <w:jc w:val="left"/>
            </w:pPr>
            <w:r>
              <w:rPr>
                <w:rFonts w:ascii="Times New Roman" w:hAnsi="Times New Roman" w:eastAsia="Times New Roman" w:cs="Times New Roman"/>
                <w:b w:val="0"/>
                <w:bCs w:val="0"/>
                <w:i w:val="0"/>
                <w:iCs w:val="0"/>
                <w:sz w:val="19"/>
                <w:szCs w:val="19"/>
              </w:rPr>
              <w:t>Amnion (A)</w:t>
            </w:r>
          </w:p>
        </w:tc>
        <w:tc>
          <w:tcPr>
            <w:tcW w:w="900" w:type="dxa"/>
            <w:tcMar>
              <w:top w:w="60" w:type="dxa"/>
              <w:left w:w="100" w:type="dxa"/>
              <w:bottom w:w="60" w:type="dxa"/>
              <w:right w:w="100" w:type="dxa"/>
            </w:tcMar>
            <w:vAlign w:val="center"/>
          </w:tcPr>
          <w:p w14:paraId="2D91BF8B">
            <w:pPr>
              <w:jc w:val="center"/>
            </w:pPr>
            <w:r>
              <w:rPr>
                <w:rFonts w:ascii="Times New Roman" w:hAnsi="Times New Roman" w:eastAsia="Times New Roman" w:cs="Times New Roman"/>
                <w:b w:val="0"/>
                <w:bCs w:val="0"/>
                <w:i w:val="0"/>
                <w:iCs w:val="0"/>
                <w:sz w:val="19"/>
                <w:szCs w:val="19"/>
              </w:rPr>
              <w:t>7</w:t>
            </w:r>
          </w:p>
        </w:tc>
        <w:tc>
          <w:tcPr>
            <w:tcW w:w="3600" w:type="dxa"/>
            <w:tcMar>
              <w:top w:w="60" w:type="dxa"/>
              <w:left w:w="100" w:type="dxa"/>
              <w:bottom w:w="60" w:type="dxa"/>
              <w:right w:w="100" w:type="dxa"/>
            </w:tcMar>
            <w:vAlign w:val="center"/>
          </w:tcPr>
          <w:p w14:paraId="442DB90F">
            <w:pPr>
              <w:jc w:val="center"/>
            </w:pPr>
            <w:r>
              <w:rPr>
                <w:rFonts w:ascii="Times New Roman" w:hAnsi="Times New Roman" w:eastAsia="Times New Roman" w:cs="Times New Roman"/>
                <w:b w:val="0"/>
                <w:bCs w:val="0"/>
                <w:i w:val="0"/>
                <w:iCs w:val="0"/>
                <w:sz w:val="19"/>
                <w:szCs w:val="19"/>
              </w:rPr>
              <w:t>48.786 ± 9.519 c</w:t>
            </w:r>
          </w:p>
        </w:tc>
        <w:tc>
          <w:tcPr>
            <w:tcW w:w="1800" w:type="dxa"/>
            <w:tcMar>
              <w:top w:w="60" w:type="dxa"/>
              <w:left w:w="100" w:type="dxa"/>
              <w:bottom w:w="60" w:type="dxa"/>
              <w:right w:w="100" w:type="dxa"/>
            </w:tcMar>
            <w:vAlign w:val="center"/>
          </w:tcPr>
          <w:p w14:paraId="4E5CCB09">
            <w:pPr>
              <w:jc w:val="center"/>
            </w:pPr>
          </w:p>
        </w:tc>
      </w:tr>
    </w:tbl>
    <w:p w14:paraId="3DF3B554">
      <w:pPr>
        <w:keepNext w:val="0"/>
        <w:spacing w:before="0" w:after="260" w:line="276" w:lineRule="auto"/>
        <w:jc w:val="left"/>
      </w:pPr>
      <w:r>
        <w:rPr>
          <w:rFonts w:ascii="Times New Roman" w:hAnsi="Times New Roman" w:eastAsia="Times New Roman" w:cs="Times New Roman"/>
          <w:b w:val="0"/>
          <w:bCs w:val="0"/>
          <w:i w:val="0"/>
          <w:iCs w:val="0"/>
          <w:sz w:val="18"/>
          <w:szCs w:val="18"/>
        </w:rPr>
        <w:t>a Significantly different from control (K), p &lt; 0.05. b Not significantly different from amnion (A), p &gt; 0.05. c Significantly different from control (K), p &lt; 0.05.</w:t>
      </w:r>
    </w:p>
    <w:p w14:paraId="78751638">
      <w:pPr>
        <w:spacing w:before="200" w:after="120" w:line="264" w:lineRule="auto"/>
        <w:jc w:val="both"/>
      </w:pPr>
      <w:r>
        <w:rPr>
          <w:rFonts w:ascii="Times New Roman" w:hAnsi="Times New Roman" w:eastAsia="Times New Roman" w:cs="Times New Roman"/>
          <w:b/>
          <w:bCs/>
          <w:sz w:val="19"/>
          <w:szCs w:val="19"/>
        </w:rPr>
        <w:t xml:space="preserve">Table 4. </w:t>
      </w:r>
      <w:r>
        <w:rPr>
          <w:rFonts w:ascii="Times New Roman" w:hAnsi="Times New Roman" w:eastAsia="Times New Roman" w:cs="Times New Roman"/>
          <w:sz w:val="19"/>
          <w:szCs w:val="19"/>
        </w:rPr>
        <w:t>Summary of Tukey HSD pairwise comparisons for inflammatory cell density and type I collagen expression.</w:t>
      </w:r>
    </w:p>
    <w:tbl>
      <w:tblPr>
        <w:tblStyle w:val="9"/>
        <w:tblW w:w="9500" w:type="dxa"/>
        <w:tblInd w:w="0" w:type="dxa"/>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Layout w:type="autofit"/>
        <w:tblCellMar>
          <w:top w:w="0" w:type="dxa"/>
          <w:left w:w="10" w:type="dxa"/>
          <w:bottom w:w="0" w:type="dxa"/>
          <w:right w:w="10" w:type="dxa"/>
        </w:tblCellMar>
      </w:tblPr>
      <w:tblGrid>
        <w:gridCol w:w="4200"/>
        <w:gridCol w:w="2800"/>
        <w:gridCol w:w="2500"/>
      </w:tblGrid>
      <w:tr w14:paraId="1F6FB6FB">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rPr>
          <w:tblHeader/>
        </w:trPr>
        <w:tc>
          <w:tcPr>
            <w:tcW w:w="4200" w:type="dxa"/>
            <w:shd w:val="clear" w:color="auto" w:fill="D9E2F3"/>
            <w:tcMar>
              <w:top w:w="60" w:type="dxa"/>
              <w:left w:w="100" w:type="dxa"/>
              <w:bottom w:w="60" w:type="dxa"/>
              <w:right w:w="100" w:type="dxa"/>
            </w:tcMar>
            <w:vAlign w:val="center"/>
          </w:tcPr>
          <w:p w14:paraId="1373B53B">
            <w:pPr>
              <w:jc w:val="center"/>
            </w:pPr>
            <w:r>
              <w:rPr>
                <w:rFonts w:ascii="Times New Roman" w:hAnsi="Times New Roman" w:eastAsia="Times New Roman" w:cs="Times New Roman"/>
                <w:b/>
                <w:bCs/>
                <w:i w:val="0"/>
                <w:iCs w:val="0"/>
                <w:sz w:val="19"/>
                <w:szCs w:val="19"/>
              </w:rPr>
              <w:t>Pairwise Comparison (Tukey HSD)</w:t>
            </w:r>
          </w:p>
        </w:tc>
        <w:tc>
          <w:tcPr>
            <w:tcW w:w="2800" w:type="dxa"/>
            <w:shd w:val="clear" w:color="auto" w:fill="D9E2F3"/>
            <w:tcMar>
              <w:top w:w="60" w:type="dxa"/>
              <w:left w:w="100" w:type="dxa"/>
              <w:bottom w:w="60" w:type="dxa"/>
              <w:right w:w="100" w:type="dxa"/>
            </w:tcMar>
            <w:vAlign w:val="center"/>
          </w:tcPr>
          <w:p w14:paraId="4A447209">
            <w:pPr>
              <w:jc w:val="center"/>
            </w:pPr>
            <w:r>
              <w:rPr>
                <w:rFonts w:ascii="Times New Roman" w:hAnsi="Times New Roman" w:eastAsia="Times New Roman" w:cs="Times New Roman"/>
                <w:b/>
                <w:bCs/>
                <w:i w:val="0"/>
                <w:iCs w:val="0"/>
                <w:sz w:val="19"/>
                <w:szCs w:val="19"/>
              </w:rPr>
              <w:t>Inflammatory Cells, p</w:t>
            </w:r>
          </w:p>
        </w:tc>
        <w:tc>
          <w:tcPr>
            <w:tcW w:w="2500" w:type="dxa"/>
            <w:shd w:val="clear" w:color="auto" w:fill="D9E2F3"/>
            <w:tcMar>
              <w:top w:w="60" w:type="dxa"/>
              <w:left w:w="100" w:type="dxa"/>
              <w:bottom w:w="60" w:type="dxa"/>
              <w:right w:w="100" w:type="dxa"/>
            </w:tcMar>
            <w:vAlign w:val="center"/>
          </w:tcPr>
          <w:p w14:paraId="18CB3DC9">
            <w:pPr>
              <w:jc w:val="center"/>
            </w:pPr>
            <w:r>
              <w:rPr>
                <w:rFonts w:ascii="Times New Roman" w:hAnsi="Times New Roman" w:eastAsia="Times New Roman" w:cs="Times New Roman"/>
                <w:b/>
                <w:bCs/>
                <w:i w:val="0"/>
                <w:iCs w:val="0"/>
                <w:sz w:val="19"/>
                <w:szCs w:val="19"/>
              </w:rPr>
              <w:t>Type I Collagen, p</w:t>
            </w:r>
          </w:p>
        </w:tc>
      </w:tr>
      <w:tr w14:paraId="20FBB6F6">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7B7D462F">
            <w:pPr>
              <w:jc w:val="left"/>
            </w:pPr>
            <w:r>
              <w:rPr>
                <w:rFonts w:ascii="Times New Roman" w:hAnsi="Times New Roman" w:eastAsia="Times New Roman" w:cs="Times New Roman"/>
                <w:b w:val="0"/>
                <w:bCs w:val="0"/>
                <w:i w:val="0"/>
                <w:iCs w:val="0"/>
                <w:sz w:val="19"/>
                <w:szCs w:val="19"/>
              </w:rPr>
              <w:t>Control (K) vs VCO (V)</w:t>
            </w:r>
          </w:p>
        </w:tc>
        <w:tc>
          <w:tcPr>
            <w:tcW w:w="2800" w:type="dxa"/>
            <w:tcMar>
              <w:top w:w="60" w:type="dxa"/>
              <w:left w:w="100" w:type="dxa"/>
              <w:bottom w:w="60" w:type="dxa"/>
              <w:right w:w="100" w:type="dxa"/>
            </w:tcMar>
            <w:vAlign w:val="center"/>
          </w:tcPr>
          <w:p w14:paraId="343A7ACC">
            <w:pPr>
              <w:jc w:val="center"/>
            </w:pPr>
            <w:r>
              <w:rPr>
                <w:rFonts w:ascii="Times New Roman" w:hAnsi="Times New Roman" w:eastAsia="Times New Roman" w:cs="Times New Roman"/>
                <w:b w:val="0"/>
                <w:bCs w:val="0"/>
                <w:i w:val="0"/>
                <w:iCs w:val="0"/>
                <w:sz w:val="19"/>
                <w:szCs w:val="19"/>
              </w:rPr>
              <w:t>0.0004 ***</w:t>
            </w:r>
          </w:p>
        </w:tc>
        <w:tc>
          <w:tcPr>
            <w:tcW w:w="2500" w:type="dxa"/>
            <w:tcMar>
              <w:top w:w="60" w:type="dxa"/>
              <w:left w:w="100" w:type="dxa"/>
              <w:bottom w:w="60" w:type="dxa"/>
              <w:right w:w="100" w:type="dxa"/>
            </w:tcMar>
            <w:vAlign w:val="center"/>
          </w:tcPr>
          <w:p w14:paraId="7BC916F1">
            <w:pPr>
              <w:jc w:val="center"/>
            </w:pPr>
            <w:r>
              <w:rPr>
                <w:rFonts w:ascii="Times New Roman" w:hAnsi="Times New Roman" w:eastAsia="Times New Roman" w:cs="Times New Roman"/>
                <w:b w:val="0"/>
                <w:bCs w:val="0"/>
                <w:i w:val="0"/>
                <w:iCs w:val="0"/>
                <w:sz w:val="19"/>
                <w:szCs w:val="19"/>
              </w:rPr>
              <w:t>&lt; 0.0001 ****</w:t>
            </w:r>
          </w:p>
        </w:tc>
      </w:tr>
      <w:tr w14:paraId="0B9D6446">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5FBB34FA">
            <w:pPr>
              <w:jc w:val="left"/>
            </w:pPr>
            <w:r>
              <w:rPr>
                <w:rFonts w:ascii="Times New Roman" w:hAnsi="Times New Roman" w:eastAsia="Times New Roman" w:cs="Times New Roman"/>
                <w:b w:val="0"/>
                <w:bCs w:val="0"/>
                <w:i w:val="0"/>
                <w:iCs w:val="0"/>
                <w:sz w:val="19"/>
                <w:szCs w:val="19"/>
              </w:rPr>
              <w:t>Control (K) vs Amnion (A)</w:t>
            </w:r>
          </w:p>
        </w:tc>
        <w:tc>
          <w:tcPr>
            <w:tcW w:w="2800" w:type="dxa"/>
            <w:tcMar>
              <w:top w:w="60" w:type="dxa"/>
              <w:left w:w="100" w:type="dxa"/>
              <w:bottom w:w="60" w:type="dxa"/>
              <w:right w:w="100" w:type="dxa"/>
            </w:tcMar>
            <w:vAlign w:val="center"/>
          </w:tcPr>
          <w:p w14:paraId="56C8F551">
            <w:pPr>
              <w:jc w:val="center"/>
            </w:pPr>
            <w:r>
              <w:rPr>
                <w:rFonts w:ascii="Times New Roman" w:hAnsi="Times New Roman" w:eastAsia="Times New Roman" w:cs="Times New Roman"/>
                <w:b w:val="0"/>
                <w:bCs w:val="0"/>
                <w:i w:val="0"/>
                <w:iCs w:val="0"/>
                <w:sz w:val="19"/>
                <w:szCs w:val="19"/>
              </w:rPr>
              <w:t>0.1653 ns</w:t>
            </w:r>
          </w:p>
        </w:tc>
        <w:tc>
          <w:tcPr>
            <w:tcW w:w="2500" w:type="dxa"/>
            <w:tcMar>
              <w:top w:w="60" w:type="dxa"/>
              <w:left w:w="100" w:type="dxa"/>
              <w:bottom w:w="60" w:type="dxa"/>
              <w:right w:w="100" w:type="dxa"/>
            </w:tcMar>
            <w:vAlign w:val="center"/>
          </w:tcPr>
          <w:p w14:paraId="50984DC0">
            <w:pPr>
              <w:jc w:val="center"/>
            </w:pPr>
            <w:r>
              <w:rPr>
                <w:rFonts w:ascii="Times New Roman" w:hAnsi="Times New Roman" w:eastAsia="Times New Roman" w:cs="Times New Roman"/>
                <w:b w:val="0"/>
                <w:bCs w:val="0"/>
                <w:i w:val="0"/>
                <w:iCs w:val="0"/>
                <w:sz w:val="19"/>
                <w:szCs w:val="19"/>
              </w:rPr>
              <w:t>&lt; 0.0001 ****</w:t>
            </w:r>
          </w:p>
        </w:tc>
      </w:tr>
      <w:tr w14:paraId="5431E125">
        <w:tblPrEx>
          <w:tblBorders>
            <w:top w:val="single" w:color="000000" w:sz="4" w:space="0"/>
            <w:left w:val="none" w:color="FFFFFF" w:sz="0" w:space="0"/>
            <w:bottom w:val="single" w:color="000000" w:sz="4" w:space="0"/>
            <w:right w:val="none" w:color="FFFFFF" w:sz="0" w:space="0"/>
            <w:insideH w:val="single" w:color="000000" w:sz="4" w:space="0"/>
            <w:insideV w:val="none" w:color="FFFFFF" w:sz="0"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37AF383A">
            <w:pPr>
              <w:jc w:val="left"/>
            </w:pPr>
            <w:r>
              <w:rPr>
                <w:rFonts w:ascii="Times New Roman" w:hAnsi="Times New Roman" w:eastAsia="Times New Roman" w:cs="Times New Roman"/>
                <w:b w:val="0"/>
                <w:bCs w:val="0"/>
                <w:i w:val="0"/>
                <w:iCs w:val="0"/>
                <w:sz w:val="19"/>
                <w:szCs w:val="19"/>
              </w:rPr>
              <w:t>VCO (V) vs Amnion (A)</w:t>
            </w:r>
          </w:p>
        </w:tc>
        <w:tc>
          <w:tcPr>
            <w:tcW w:w="2800" w:type="dxa"/>
            <w:tcMar>
              <w:top w:w="60" w:type="dxa"/>
              <w:left w:w="100" w:type="dxa"/>
              <w:bottom w:w="60" w:type="dxa"/>
              <w:right w:w="100" w:type="dxa"/>
            </w:tcMar>
            <w:vAlign w:val="center"/>
          </w:tcPr>
          <w:p w14:paraId="28FC0648">
            <w:pPr>
              <w:jc w:val="center"/>
            </w:pPr>
            <w:r>
              <w:rPr>
                <w:rFonts w:ascii="Times New Roman" w:hAnsi="Times New Roman" w:eastAsia="Times New Roman" w:cs="Times New Roman"/>
                <w:b w:val="0"/>
                <w:bCs w:val="0"/>
                <w:i w:val="0"/>
                <w:iCs w:val="0"/>
                <w:sz w:val="19"/>
                <w:szCs w:val="19"/>
              </w:rPr>
              <w:t>&lt; 0.0001 ****</w:t>
            </w:r>
          </w:p>
        </w:tc>
        <w:tc>
          <w:tcPr>
            <w:tcW w:w="2500" w:type="dxa"/>
            <w:tcMar>
              <w:top w:w="60" w:type="dxa"/>
              <w:left w:w="100" w:type="dxa"/>
              <w:bottom w:w="60" w:type="dxa"/>
              <w:right w:w="100" w:type="dxa"/>
            </w:tcMar>
            <w:vAlign w:val="center"/>
          </w:tcPr>
          <w:p w14:paraId="60EF5EA8">
            <w:pPr>
              <w:jc w:val="center"/>
            </w:pPr>
            <w:r>
              <w:rPr>
                <w:rFonts w:ascii="Times New Roman" w:hAnsi="Times New Roman" w:eastAsia="Times New Roman" w:cs="Times New Roman"/>
                <w:b w:val="0"/>
                <w:bCs w:val="0"/>
                <w:i w:val="0"/>
                <w:iCs w:val="0"/>
                <w:sz w:val="19"/>
                <w:szCs w:val="19"/>
              </w:rPr>
              <w:t>0.184 ns</w:t>
            </w:r>
          </w:p>
        </w:tc>
      </w:tr>
    </w:tbl>
    <w:p w14:paraId="0503F266">
      <w:pPr>
        <w:keepNext w:val="0"/>
        <w:spacing w:before="0" w:after="300" w:line="276" w:lineRule="auto"/>
        <w:jc w:val="left"/>
      </w:pPr>
      <w:r>
        <w:rPr>
          <w:rFonts w:ascii="Times New Roman" w:hAnsi="Times New Roman" w:eastAsia="Times New Roman" w:cs="Times New Roman"/>
          <w:b w:val="0"/>
          <w:bCs w:val="0"/>
          <w:i w:val="0"/>
          <w:iCs w:val="0"/>
          <w:sz w:val="18"/>
          <w:szCs w:val="18"/>
        </w:rPr>
        <w:t>*** p &lt; 0.001; **** p &lt; 0.0001; ns, not significant (p &gt; 0.05).</w:t>
      </w:r>
    </w:p>
    <w:p w14:paraId="2C444790">
      <w:pPr>
        <w:pStyle w:val="2"/>
        <w:spacing w:before="360" w:after="200"/>
      </w:pPr>
      <w:r>
        <w:rPr>
          <w:rFonts w:ascii="Times New Roman" w:hAnsi="Times New Roman" w:eastAsia="Times New Roman" w:cs="Times New Roman"/>
          <w:b/>
          <w:bCs/>
          <w:caps w:val="0"/>
          <w:sz w:val="26"/>
          <w:szCs w:val="26"/>
        </w:rPr>
        <w:t>4. Discussion</w:t>
      </w:r>
    </w:p>
    <w:p w14:paraId="1BE0562F">
      <w:pPr>
        <w:spacing w:before="0" w:after="200" w:line="276" w:lineRule="auto"/>
        <w:jc w:val="both"/>
      </w:pPr>
      <w:r>
        <w:rPr>
          <w:rFonts w:ascii="Times New Roman" w:hAnsi="Times New Roman" w:eastAsia="Times New Roman" w:cs="Times New Roman"/>
          <w:b w:val="0"/>
          <w:bCs w:val="0"/>
          <w:i w:val="0"/>
          <w:iCs w:val="0"/>
          <w:sz w:val="22"/>
          <w:szCs w:val="22"/>
        </w:rPr>
        <w:t xml:space="preserve">The present study demonstrates that topical VCO significantly increases type I collagen expression in the granulation tissue of second-degree burn wounds relative to an untreated control, reaching a level statistically indistinguishable from that produced by human amnion membrane, an established biological dressing </w:t>
      </w:r>
      <w:r>
        <w:rPr>
          <w:rFonts w:ascii="Times New Roman" w:hAnsi="Times New Roman" w:eastAsia="Times New Roman" w:cs="Times New Roman"/>
          <w:b w:val="0"/>
          <w:bCs w:val="0"/>
          <w:i w:val="0"/>
          <w:iCs w:val="0"/>
          <w:sz w:val="16"/>
          <w:szCs w:val="16"/>
          <w:vertAlign w:val="superscript"/>
        </w:rPr>
        <w:t>[23,24,22]</w:t>
      </w:r>
      <w:r>
        <w:rPr>
          <w:rFonts w:ascii="Times New Roman" w:hAnsi="Times New Roman" w:eastAsia="Times New Roman" w:cs="Times New Roman"/>
          <w:b w:val="0"/>
          <w:bCs w:val="0"/>
          <w:i w:val="0"/>
          <w:iCs w:val="0"/>
          <w:sz w:val="22"/>
          <w:szCs w:val="22"/>
        </w:rPr>
        <w:t xml:space="preserve">. This finding directly supports the developmental rationale for VCO as a topical burn agent: adequate type I collagen deposition during the proliferative-to-remodelling transition is a key structural marker of favourable wound maturation </w:t>
      </w:r>
      <w:r>
        <w:rPr>
          <w:rFonts w:ascii="Times New Roman" w:hAnsi="Times New Roman" w:eastAsia="Times New Roman" w:cs="Times New Roman"/>
          <w:b w:val="0"/>
          <w:bCs w:val="0"/>
          <w:i w:val="0"/>
          <w:iCs w:val="0"/>
          <w:sz w:val="16"/>
          <w:szCs w:val="16"/>
          <w:vertAlign w:val="superscript"/>
        </w:rPr>
        <w:t>[10,11]</w:t>
      </w:r>
      <w:r>
        <w:rPr>
          <w:rFonts w:ascii="Times New Roman" w:hAnsi="Times New Roman" w:eastAsia="Times New Roman" w:cs="Times New Roman"/>
          <w:b w:val="0"/>
          <w:bCs w:val="0"/>
          <w:i w:val="0"/>
          <w:iCs w:val="0"/>
          <w:sz w:val="22"/>
          <w:szCs w:val="22"/>
        </w:rPr>
        <w:t xml:space="preserve">, and the comparable collagen response between VCO and amnion suggests that, by this histological criterion, VCO can support wound-matrix formation to a similar degree as a growth-factor-rich biological dressing, at substantially lower cost and complexity of application </w:t>
      </w:r>
      <w:r>
        <w:rPr>
          <w:rFonts w:ascii="Times New Roman" w:hAnsi="Times New Roman" w:eastAsia="Times New Roman" w:cs="Times New Roman"/>
          <w:b w:val="0"/>
          <w:bCs w:val="0"/>
          <w:i w:val="0"/>
          <w:iCs w:val="0"/>
          <w:sz w:val="16"/>
          <w:szCs w:val="16"/>
          <w:vertAlign w:val="superscript"/>
        </w:rPr>
        <w:t>[24]</w:t>
      </w:r>
    </w:p>
    <w:p w14:paraId="77992BD6">
      <w:pPr>
        <w:spacing w:before="0" w:after="200" w:line="276" w:lineRule="auto"/>
        <w:jc w:val="both"/>
      </w:pPr>
      <w:r>
        <w:rPr>
          <w:rFonts w:ascii="Times New Roman" w:hAnsi="Times New Roman" w:eastAsia="Times New Roman" w:cs="Times New Roman"/>
          <w:b w:val="0"/>
          <w:bCs w:val="0"/>
          <w:i w:val="0"/>
          <w:iCs w:val="0"/>
          <w:sz w:val="22"/>
          <w:szCs w:val="22"/>
        </w:rPr>
        <w:t xml:space="preserve">A notable feature of the present results is the dissociation between inflammatory cell density and collagen deposition across groups. The amnion group combined the highest inflammatory cell density with the highest collagen expression, whereas the VCO group combined the lowest inflammatory cell density with a collagen level statistically equivalent to amnion. Amnion is known to contain a broad complement of growth factors and cytokines — including vascular endothelial growth factor, platelet-derived growth factor, transforming growth factor, epidermal growth factor and granulocyte colony-stimulating factor — capable of stimulating angiogenesis and matrix production </w:t>
      </w:r>
      <w:r>
        <w:rPr>
          <w:rFonts w:ascii="Times New Roman" w:hAnsi="Times New Roman" w:eastAsia="Times New Roman" w:cs="Times New Roman"/>
          <w:b w:val="0"/>
          <w:bCs w:val="0"/>
          <w:i w:val="0"/>
          <w:iCs w:val="0"/>
          <w:sz w:val="16"/>
          <w:szCs w:val="16"/>
          <w:vertAlign w:val="superscript"/>
        </w:rPr>
        <w:t>[23,24]</w:t>
      </w:r>
      <w:r>
        <w:rPr>
          <w:rFonts w:ascii="Times New Roman" w:hAnsi="Times New Roman" w:eastAsia="Times New Roman" w:cs="Times New Roman"/>
          <w:b w:val="0"/>
          <w:bCs w:val="0"/>
          <w:i w:val="0"/>
          <w:iCs w:val="0"/>
          <w:sz w:val="22"/>
          <w:szCs w:val="22"/>
        </w:rPr>
        <w:t xml:space="preserve">; the relatively high inflammatory cell density observed in the amnion group in this study may reflect a host response to xenogeneic membrane components rather than a response to the burn injury itself, consistent with reports that amnion, despite being regarded as comparatively non-immunogenic, can still elicit a mild foreign-tissue reaction in some settings </w:t>
      </w:r>
      <w:r>
        <w:rPr>
          <w:rFonts w:ascii="Times New Roman" w:hAnsi="Times New Roman" w:eastAsia="Times New Roman" w:cs="Times New Roman"/>
          <w:b w:val="0"/>
          <w:bCs w:val="0"/>
          <w:i w:val="0"/>
          <w:iCs w:val="0"/>
          <w:sz w:val="16"/>
          <w:szCs w:val="16"/>
          <w:vertAlign w:val="superscript"/>
        </w:rPr>
        <w:t>[24]</w:t>
      </w:r>
    </w:p>
    <w:p w14:paraId="54FB923A">
      <w:pPr>
        <w:spacing w:before="0" w:after="200" w:line="276" w:lineRule="auto"/>
        <w:jc w:val="both"/>
      </w:pPr>
      <w:r>
        <w:rPr>
          <w:rFonts w:ascii="Times New Roman" w:hAnsi="Times New Roman" w:eastAsia="Times New Roman" w:cs="Times New Roman"/>
          <w:b w:val="0"/>
          <w:bCs w:val="0"/>
          <w:i w:val="0"/>
          <w:iCs w:val="0"/>
          <w:sz w:val="22"/>
          <w:szCs w:val="22"/>
        </w:rPr>
        <w:t xml:space="preserve">By contrast, the lower inflammatory cell density in the VCO group, occurring alongside preserved collagen deposition, is consistent with an anti-inflammatory mechanism of action. In vitro and in vivo studies have shown that VCO and its major fatty acid constituents suppress pro-inflammatory mediator release: VCO has been reported to inhibit TNF-α, IFN-γ and several interleukins in THP-1 cells </w:t>
      </w:r>
      <w:r>
        <w:rPr>
          <w:rFonts w:ascii="Times New Roman" w:hAnsi="Times New Roman" w:eastAsia="Times New Roman" w:cs="Times New Roman"/>
          <w:b w:val="0"/>
          <w:bCs w:val="0"/>
          <w:i w:val="0"/>
          <w:iCs w:val="0"/>
          <w:sz w:val="16"/>
          <w:szCs w:val="16"/>
          <w:vertAlign w:val="superscript"/>
        </w:rPr>
        <w:t>[27]</w:t>
      </w:r>
      <w:r>
        <w:rPr>
          <w:rFonts w:ascii="Times New Roman" w:hAnsi="Times New Roman" w:eastAsia="Times New Roman" w:cs="Times New Roman"/>
          <w:b w:val="0"/>
          <w:bCs w:val="0"/>
          <w:i w:val="0"/>
          <w:iCs w:val="0"/>
          <w:sz w:val="22"/>
          <w:szCs w:val="22"/>
        </w:rPr>
        <w:t xml:space="preserve">, to exert anti-inflammatory, analgesic and antipyretic activity in rodent models </w:t>
      </w:r>
      <w:r>
        <w:rPr>
          <w:rFonts w:ascii="Times New Roman" w:hAnsi="Times New Roman" w:eastAsia="Times New Roman" w:cs="Times New Roman"/>
          <w:b w:val="0"/>
          <w:bCs w:val="0"/>
          <w:i w:val="0"/>
          <w:iCs w:val="0"/>
          <w:sz w:val="16"/>
          <w:szCs w:val="16"/>
          <w:vertAlign w:val="superscript"/>
        </w:rPr>
        <w:t>[28,29]</w:t>
      </w:r>
      <w:r>
        <w:rPr>
          <w:rFonts w:ascii="Times New Roman" w:hAnsi="Times New Roman" w:eastAsia="Times New Roman" w:cs="Times New Roman"/>
          <w:b w:val="0"/>
          <w:bCs w:val="0"/>
          <w:i w:val="0"/>
          <w:iCs w:val="0"/>
          <w:sz w:val="22"/>
          <w:szCs w:val="22"/>
        </w:rPr>
        <w:t xml:space="preserve">, and to attenuate oxidative and inflammatory injury in other rat models of tissue damage </w:t>
      </w:r>
      <w:r>
        <w:rPr>
          <w:rFonts w:ascii="Times New Roman" w:hAnsi="Times New Roman" w:eastAsia="Times New Roman" w:cs="Times New Roman"/>
          <w:b w:val="0"/>
          <w:bCs w:val="0"/>
          <w:i w:val="0"/>
          <w:iCs w:val="0"/>
          <w:sz w:val="16"/>
          <w:szCs w:val="16"/>
          <w:vertAlign w:val="superscript"/>
        </w:rPr>
        <w:t>[30]</w:t>
      </w:r>
      <w:r>
        <w:rPr>
          <w:rFonts w:ascii="Times New Roman" w:hAnsi="Times New Roman" w:eastAsia="Times New Roman" w:cs="Times New Roman"/>
          <w:b w:val="0"/>
          <w:bCs w:val="0"/>
          <w:i w:val="0"/>
          <w:iCs w:val="0"/>
          <w:sz w:val="22"/>
          <w:szCs w:val="22"/>
        </w:rPr>
        <w:t xml:space="preserve">. Among VCO's unsaturated fatty acid constituents, palmitoleic acid applied topically has been shown to modulate the local cytokine profile (TNF-α, IL-1β, IL-6) and accelerate wound closure through an anti-inflammatory mechanism </w:t>
      </w:r>
      <w:r>
        <w:rPr>
          <w:rFonts w:ascii="Times New Roman" w:hAnsi="Times New Roman" w:eastAsia="Times New Roman" w:cs="Times New Roman"/>
          <w:b w:val="0"/>
          <w:bCs w:val="0"/>
          <w:i w:val="0"/>
          <w:iCs w:val="0"/>
          <w:sz w:val="16"/>
          <w:szCs w:val="16"/>
          <w:vertAlign w:val="superscript"/>
        </w:rPr>
        <w:t>[18]</w:t>
      </w:r>
      <w:r>
        <w:rPr>
          <w:rFonts w:ascii="Times New Roman" w:hAnsi="Times New Roman" w:eastAsia="Times New Roman" w:cs="Times New Roman"/>
          <w:b w:val="0"/>
          <w:bCs w:val="0"/>
          <w:i w:val="0"/>
          <w:iCs w:val="0"/>
          <w:sz w:val="22"/>
          <w:szCs w:val="22"/>
        </w:rPr>
        <w:t xml:space="preserve">, while oleic acid has been shown to modulate the immune response and increase collagen production during cutaneous wound healing </w:t>
      </w:r>
      <w:r>
        <w:rPr>
          <w:rFonts w:ascii="Times New Roman" w:hAnsi="Times New Roman" w:eastAsia="Times New Roman" w:cs="Times New Roman"/>
          <w:b w:val="0"/>
          <w:bCs w:val="0"/>
          <w:i w:val="0"/>
          <w:iCs w:val="0"/>
          <w:sz w:val="16"/>
          <w:szCs w:val="16"/>
          <w:vertAlign w:val="superscript"/>
        </w:rPr>
        <w:t>[17]</w:t>
      </w:r>
      <w:r>
        <w:rPr>
          <w:rFonts w:ascii="Times New Roman" w:hAnsi="Times New Roman" w:eastAsia="Times New Roman" w:cs="Times New Roman"/>
          <w:b w:val="0"/>
          <w:bCs w:val="0"/>
          <w:i w:val="0"/>
          <w:iCs w:val="0"/>
          <w:sz w:val="22"/>
          <w:szCs w:val="22"/>
        </w:rPr>
        <w:t xml:space="preserve">. Taken together, these mechanisms plausibly account for the pattern observed here, in which VCO limited the inflammatory cell burden of the healing wound without compromising, and indeed while supporting, type I collagen synthesis — most likely through a fibroblast-proliferation-driven route operating in parallel with, rather than dependent upon, a large inflammatory cell infiltrate </w:t>
      </w:r>
      <w:r>
        <w:rPr>
          <w:rFonts w:ascii="Times New Roman" w:hAnsi="Times New Roman" w:eastAsia="Times New Roman" w:cs="Times New Roman"/>
          <w:b w:val="0"/>
          <w:bCs w:val="0"/>
          <w:i w:val="0"/>
          <w:iCs w:val="0"/>
          <w:sz w:val="16"/>
          <w:szCs w:val="16"/>
          <w:vertAlign w:val="superscript"/>
        </w:rPr>
        <w:t>[9,10]</w:t>
      </w:r>
    </w:p>
    <w:p w14:paraId="679E4188">
      <w:pPr>
        <w:spacing w:before="0" w:after="200" w:line="276" w:lineRule="auto"/>
        <w:jc w:val="both"/>
      </w:pPr>
      <w:r>
        <w:rPr>
          <w:rFonts w:ascii="Times New Roman" w:hAnsi="Times New Roman" w:eastAsia="Times New Roman" w:cs="Times New Roman"/>
          <w:b w:val="0"/>
          <w:bCs w:val="0"/>
          <w:i w:val="0"/>
          <w:iCs w:val="0"/>
          <w:sz w:val="22"/>
          <w:szCs w:val="22"/>
        </w:rPr>
        <w:t xml:space="preserve">This pattern has potential clinical relevance. Excessive or prolonged inflammatory cell infiltration during burn wound healing is associated with excessive collagen deposition and hypertrophic scarring </w:t>
      </w:r>
      <w:r>
        <w:rPr>
          <w:rFonts w:ascii="Times New Roman" w:hAnsi="Times New Roman" w:eastAsia="Times New Roman" w:cs="Times New Roman"/>
          <w:b w:val="0"/>
          <w:bCs w:val="0"/>
          <w:i w:val="0"/>
          <w:iCs w:val="0"/>
          <w:sz w:val="16"/>
          <w:szCs w:val="16"/>
          <w:vertAlign w:val="superscript"/>
        </w:rPr>
        <w:t>[10,11]</w:t>
      </w:r>
      <w:r>
        <w:rPr>
          <w:rFonts w:ascii="Times New Roman" w:hAnsi="Times New Roman" w:eastAsia="Times New Roman" w:cs="Times New Roman"/>
          <w:b w:val="0"/>
          <w:bCs w:val="0"/>
          <w:i w:val="0"/>
          <w:iCs w:val="0"/>
          <w:sz w:val="22"/>
          <w:szCs w:val="22"/>
        </w:rPr>
        <w:t xml:space="preserve">, whereas a healing trajectory that achieves adequate collagen deposition with a comparatively limited inflammatory response may be more favourable for minimising fibrotic scarring. The absence of eschar formation and the numerically smaller residual wound area observed macroscopically in the VCO group at day 14, although not reaching statistical significance in this relatively small sample, are broadly consistent with this interpretation and with earlier reports that VCO accelerates partial-thickness wound closure in other animal models </w:t>
      </w:r>
      <w:r>
        <w:rPr>
          <w:rFonts w:ascii="Times New Roman" w:hAnsi="Times New Roman" w:eastAsia="Times New Roman" w:cs="Times New Roman"/>
          <w:b w:val="0"/>
          <w:bCs w:val="0"/>
          <w:i w:val="0"/>
          <w:iCs w:val="0"/>
          <w:sz w:val="16"/>
          <w:szCs w:val="16"/>
          <w:vertAlign w:val="superscript"/>
        </w:rPr>
        <w:t>[20,21,31,32,19]</w:t>
      </w:r>
    </w:p>
    <w:p w14:paraId="491EC7DB">
      <w:pPr>
        <w:spacing w:before="0" w:after="200" w:line="276" w:lineRule="auto"/>
        <w:jc w:val="both"/>
      </w:pPr>
      <w:r>
        <w:rPr>
          <w:rFonts w:ascii="Times New Roman" w:hAnsi="Times New Roman" w:eastAsia="Times New Roman" w:cs="Times New Roman"/>
          <w:b w:val="0"/>
          <w:bCs w:val="0"/>
          <w:i w:val="0"/>
          <w:iCs w:val="0"/>
          <w:sz w:val="22"/>
          <w:szCs w:val="22"/>
        </w:rPr>
        <w:t>The higher survival observed in the VCO group compared with the control and amnion groups (9/9 versus 7/9 in each comparator group, with deaths occurring by day 4 in the latter two) is an additional, hypothesis-generating observation; because deaths occurred early — before the majority of the healing process captured by this study — this finding should be interpreted with caution and is more plausibly related to general peri-procedural factors than to the collagen-related endpoints reported here.</w:t>
      </w:r>
    </w:p>
    <w:p w14:paraId="3AC5986F">
      <w:pPr>
        <w:spacing w:before="0" w:after="200" w:line="276" w:lineRule="auto"/>
        <w:jc w:val="both"/>
      </w:pPr>
      <w:r>
        <w:rPr>
          <w:rFonts w:ascii="Times New Roman" w:hAnsi="Times New Roman" w:eastAsia="Times New Roman" w:cs="Times New Roman"/>
          <w:b w:val="0"/>
          <w:bCs w:val="0"/>
          <w:i w:val="0"/>
          <w:iCs w:val="0"/>
          <w:sz w:val="22"/>
          <w:szCs w:val="22"/>
        </w:rPr>
        <w:t xml:space="preserve">This study has several limitations. First, only a single VCO application regimen (0.5 mL, twice daily) was tested, and no dose–response relationship was established. Second, tissue was sampled only at a single, relatively early time point (day 14); longer-term follow-up would be required to determine whether the granulation-phase collagen pattern observed here translates into a favourable, non-hypertrophic scar outcome. Third, although the rat dorsal skin model is widely used for wound-healing research, rodent skin differs from human skin in several structural respects, including the presence of the panniculus carnosus muscle, which can influence wound contraction and should be considered when extrapolating these findings to human burn care </w:t>
      </w:r>
      <w:r>
        <w:rPr>
          <w:rFonts w:ascii="Times New Roman" w:hAnsi="Times New Roman" w:eastAsia="Times New Roman" w:cs="Times New Roman"/>
          <w:b w:val="0"/>
          <w:bCs w:val="0"/>
          <w:i w:val="0"/>
          <w:iCs w:val="0"/>
          <w:sz w:val="16"/>
          <w:szCs w:val="16"/>
          <w:vertAlign w:val="superscript"/>
        </w:rPr>
        <w:t>[33]</w:t>
      </w:r>
      <w:r>
        <w:rPr>
          <w:rFonts w:ascii="Times New Roman" w:hAnsi="Times New Roman" w:eastAsia="Times New Roman" w:cs="Times New Roman"/>
          <w:b w:val="0"/>
          <w:bCs w:val="0"/>
          <w:i w:val="0"/>
          <w:iCs w:val="0"/>
          <w:sz w:val="22"/>
          <w:szCs w:val="22"/>
        </w:rPr>
        <w:t>. Finally, the present manuscript focuses specifically on inflammatory cell density and type I collagen expression; the effect of topical VCO on the systemic mRNA expression of VEGF-A and EGF from this same experimental series, together with the mechanistic relationship between these growth factors and the collagen findings reported here, is addressed in a separate manuscript.</w:t>
      </w:r>
    </w:p>
    <w:p w14:paraId="0A1544FE">
      <w:pPr>
        <w:spacing w:before="0" w:after="300" w:line="276" w:lineRule="auto"/>
        <w:jc w:val="both"/>
      </w:pPr>
      <w:r>
        <w:rPr>
          <w:rFonts w:ascii="Times New Roman" w:hAnsi="Times New Roman" w:eastAsia="Times New Roman" w:cs="Times New Roman"/>
          <w:b w:val="0"/>
          <w:bCs w:val="0"/>
          <w:i w:val="0"/>
          <w:iCs w:val="0"/>
          <w:sz w:val="22"/>
          <w:szCs w:val="22"/>
        </w:rPr>
        <w:t xml:space="preserve">Overall, these findings extend previous reports of VCO's beneficial effect on wound healing </w:t>
      </w:r>
      <w:r>
        <w:rPr>
          <w:rFonts w:ascii="Times New Roman" w:hAnsi="Times New Roman" w:eastAsia="Times New Roman" w:cs="Times New Roman"/>
          <w:b w:val="0"/>
          <w:bCs w:val="0"/>
          <w:i w:val="0"/>
          <w:iCs w:val="0"/>
          <w:sz w:val="16"/>
          <w:szCs w:val="16"/>
          <w:vertAlign w:val="superscript"/>
        </w:rPr>
        <w:t>[20,21,31,32,19]</w:t>
      </w:r>
      <w:r>
        <w:rPr>
          <w:rFonts w:ascii="Times New Roman" w:hAnsi="Times New Roman" w:eastAsia="Times New Roman" w:cs="Times New Roman"/>
          <w:b w:val="0"/>
          <w:bCs w:val="0"/>
          <w:i w:val="0"/>
          <w:iCs w:val="0"/>
          <w:sz w:val="22"/>
          <w:szCs w:val="22"/>
        </w:rPr>
        <w:t xml:space="preserve"> by demonstrating, using a validated immunohistochemical and image-analysis approach, that topical VCO promotes type I collagen deposition in a burn-injury granulation tissue model to a degree comparable with human amnion, while producing a distinctly lower inflammatory cell burden. Further studies incorporating dose optimisation, longer-term scar quality assessment, and mechanistic pathway analysis (for example, fibroblast proliferation assays and transforming growth factor-β/Smad signalling) are warranted before clinical translation of VCO as a topical agent for second-degree burn care.</w:t>
      </w:r>
    </w:p>
    <w:p w14:paraId="55D04294">
      <w:pPr>
        <w:pStyle w:val="2"/>
        <w:spacing w:before="360" w:after="200"/>
      </w:pPr>
      <w:r>
        <w:rPr>
          <w:rFonts w:ascii="Times New Roman" w:hAnsi="Times New Roman" w:eastAsia="Times New Roman" w:cs="Times New Roman"/>
          <w:b/>
          <w:bCs/>
          <w:caps w:val="0"/>
          <w:sz w:val="26"/>
          <w:szCs w:val="26"/>
        </w:rPr>
        <w:t>5. Conclusion</w:t>
      </w:r>
    </w:p>
    <w:p w14:paraId="0D296561">
      <w:pPr>
        <w:keepNext w:val="0"/>
        <w:spacing w:before="0" w:after="300" w:line="276" w:lineRule="auto"/>
        <w:jc w:val="both"/>
      </w:pPr>
      <w:r>
        <w:rPr>
          <w:rFonts w:ascii="Times New Roman" w:hAnsi="Times New Roman" w:eastAsia="Times New Roman" w:cs="Times New Roman"/>
          <w:b w:val="0"/>
          <w:bCs w:val="0"/>
          <w:i w:val="0"/>
          <w:iCs w:val="0"/>
          <w:sz w:val="22"/>
          <w:szCs w:val="22"/>
        </w:rPr>
        <w:t>Topical application of virgin coconut oil significantly increased type I collagen expression in the granulation tissue of second-degree burn wounds in a rat model, reaching a level comparable to that achieved with human amnion membrane, while producing significantly lower inflammatory cell density than either the untreated control or the amnion group. These findings support the continued development of VCO as an accessible, low-cost topical agent that promotes qualitatively favourable, comparatively anti-inflammatory granulation tissue maturation in second-degree burn wounds.</w:t>
      </w:r>
    </w:p>
    <w:p w14:paraId="2A1D0DE1">
      <w:pPr>
        <w:pStyle w:val="3"/>
        <w:spacing w:before="260" w:after="160"/>
      </w:pPr>
      <w:r>
        <w:rPr>
          <w:rFonts w:ascii="Times New Roman" w:hAnsi="Times New Roman" w:eastAsia="Times New Roman" w:cs="Times New Roman"/>
          <w:b/>
          <w:bCs/>
          <w:i/>
          <w:iCs/>
          <w:sz w:val="23"/>
          <w:szCs w:val="23"/>
        </w:rPr>
        <w:t>Author Contributions</w:t>
      </w:r>
    </w:p>
    <w:p w14:paraId="718C17AC">
      <w:pPr>
        <w:keepNext w:val="0"/>
        <w:spacing w:before="0" w:after="200" w:line="276" w:lineRule="auto"/>
        <w:jc w:val="both"/>
      </w:pPr>
      <w:r>
        <w:rPr>
          <w:rFonts w:ascii="Times New Roman" w:hAnsi="Times New Roman" w:eastAsia="Times New Roman" w:cs="Times New Roman"/>
          <w:b w:val="0"/>
          <w:bCs w:val="0"/>
          <w:i w:val="0"/>
          <w:iCs w:val="0"/>
          <w:sz w:val="22"/>
          <w:szCs w:val="22"/>
        </w:rPr>
        <w:t>TL: conceptualisation, investigation, formal analysis, writing – original draft. SS: supervision, conceptualisation, methodology, writing – review and editing. GR and RSR: supervision, methodology, writing – review and editing. All authors read and approved the final manuscript.</w:t>
      </w:r>
    </w:p>
    <w:p w14:paraId="5E19F36C">
      <w:pPr>
        <w:pStyle w:val="3"/>
        <w:spacing w:before="260" w:after="160"/>
      </w:pPr>
      <w:r>
        <w:rPr>
          <w:rFonts w:ascii="Times New Roman" w:hAnsi="Times New Roman" w:eastAsia="Times New Roman" w:cs="Times New Roman"/>
          <w:b/>
          <w:bCs/>
          <w:i/>
          <w:iCs/>
          <w:sz w:val="23"/>
          <w:szCs w:val="23"/>
        </w:rPr>
        <w:t>Funding</w:t>
      </w:r>
    </w:p>
    <w:p w14:paraId="57E1E904">
      <w:pPr>
        <w:keepNext w:val="0"/>
        <w:spacing w:before="0" w:after="200" w:line="276" w:lineRule="auto"/>
        <w:jc w:val="both"/>
      </w:pPr>
      <w:r>
        <w:rPr>
          <w:rFonts w:ascii="Times New Roman" w:hAnsi="Times New Roman" w:eastAsia="Times New Roman" w:cs="Times New Roman"/>
          <w:b w:val="0"/>
          <w:bCs w:val="0"/>
          <w:i w:val="0"/>
          <w:iCs w:val="0"/>
          <w:sz w:val="22"/>
          <w:szCs w:val="22"/>
        </w:rPr>
        <w:t>This research was supported by a doctoral scholarship (LPDP–BUDI DN) from the Indonesia Endowment Fund for Education (Lembaga Pengelola Dana Pendidikan), Ministry of Finance, Republic of Indonesia.</w:t>
      </w:r>
    </w:p>
    <w:p w14:paraId="59329E95">
      <w:pPr>
        <w:pStyle w:val="3"/>
        <w:spacing w:before="260" w:after="160"/>
      </w:pPr>
      <w:r>
        <w:rPr>
          <w:rFonts w:ascii="Times New Roman" w:hAnsi="Times New Roman" w:eastAsia="Times New Roman" w:cs="Times New Roman"/>
          <w:b/>
          <w:bCs/>
          <w:i/>
          <w:iCs/>
          <w:sz w:val="23"/>
          <w:szCs w:val="23"/>
        </w:rPr>
        <w:t>Conflict of Interest</w:t>
      </w:r>
    </w:p>
    <w:p w14:paraId="5394A135">
      <w:pPr>
        <w:keepNext w:val="0"/>
        <w:spacing w:before="0" w:after="200" w:line="276" w:lineRule="auto"/>
        <w:jc w:val="both"/>
      </w:pPr>
      <w:r>
        <w:rPr>
          <w:rFonts w:ascii="Times New Roman" w:hAnsi="Times New Roman" w:eastAsia="Times New Roman" w:cs="Times New Roman"/>
          <w:b w:val="0"/>
          <w:bCs w:val="0"/>
          <w:i w:val="0"/>
          <w:iCs w:val="0"/>
          <w:sz w:val="22"/>
          <w:szCs w:val="22"/>
        </w:rPr>
        <w:t>The authors declare no conflict of interest.</w:t>
      </w:r>
    </w:p>
    <w:p w14:paraId="2D8E22D9">
      <w:pPr>
        <w:pStyle w:val="3"/>
        <w:spacing w:before="260" w:after="160"/>
      </w:pPr>
      <w:r>
        <w:rPr>
          <w:rFonts w:ascii="Times New Roman" w:hAnsi="Times New Roman" w:eastAsia="Times New Roman" w:cs="Times New Roman"/>
          <w:b/>
          <w:bCs/>
          <w:i/>
          <w:iCs/>
          <w:sz w:val="23"/>
          <w:szCs w:val="23"/>
        </w:rPr>
        <w:t>Ethics Statement</w:t>
      </w:r>
    </w:p>
    <w:p w14:paraId="60893F73">
      <w:pPr>
        <w:keepNext w:val="0"/>
        <w:spacing w:before="0" w:after="200" w:line="276" w:lineRule="auto"/>
        <w:jc w:val="both"/>
      </w:pPr>
      <w:r>
        <w:rPr>
          <w:rFonts w:ascii="Times New Roman" w:hAnsi="Times New Roman" w:eastAsia="Times New Roman" w:cs="Times New Roman"/>
          <w:b w:val="0"/>
          <w:bCs w:val="0"/>
          <w:i w:val="0"/>
          <w:iCs w:val="0"/>
          <w:sz w:val="22"/>
          <w:szCs w:val="22"/>
        </w:rPr>
        <w:t>This study was approved by the Health Research Ethics Committee, Faculty of Medicine, Universitas Andalas, Padang, Indonesia, and was conducted in accordance with institutional guidelines for the care and use of laboratory animals.</w:t>
      </w:r>
    </w:p>
    <w:p w14:paraId="2A2B5C1D">
      <w:pPr>
        <w:pStyle w:val="3"/>
        <w:spacing w:before="260" w:after="160"/>
      </w:pPr>
      <w:r>
        <w:rPr>
          <w:rFonts w:ascii="Times New Roman" w:hAnsi="Times New Roman" w:eastAsia="Times New Roman" w:cs="Times New Roman"/>
          <w:b/>
          <w:bCs/>
          <w:i/>
          <w:iCs/>
          <w:sz w:val="23"/>
          <w:szCs w:val="23"/>
        </w:rPr>
        <w:t>Data Availability</w:t>
      </w:r>
      <w:bookmarkStart w:id="0" w:name="_GoBack"/>
      <w:bookmarkEnd w:id="0"/>
    </w:p>
    <w:p w14:paraId="06C70445">
      <w:pPr>
        <w:keepNext w:val="0"/>
        <w:spacing w:before="0" w:after="200" w:line="276" w:lineRule="auto"/>
        <w:jc w:val="both"/>
      </w:pPr>
      <w:r>
        <w:rPr>
          <w:rFonts w:ascii="Times New Roman" w:hAnsi="Times New Roman" w:eastAsia="Times New Roman" w:cs="Times New Roman"/>
          <w:b w:val="0"/>
          <w:bCs w:val="0"/>
          <w:i w:val="0"/>
          <w:iCs w:val="0"/>
          <w:sz w:val="22"/>
          <w:szCs w:val="22"/>
        </w:rPr>
        <w:t>The datasets generated and analysed during the current study are available from the corresponding author on reasonable request.</w:t>
      </w:r>
    </w:p>
    <w:p w14:paraId="0791F6B7">
      <w:pPr>
        <w:pStyle w:val="3"/>
        <w:spacing w:before="260" w:after="160"/>
      </w:pPr>
      <w:r>
        <w:rPr>
          <w:rFonts w:ascii="Times New Roman" w:hAnsi="Times New Roman" w:eastAsia="Times New Roman" w:cs="Times New Roman"/>
          <w:b/>
          <w:bCs/>
          <w:i/>
          <w:iCs/>
          <w:sz w:val="23"/>
          <w:szCs w:val="23"/>
        </w:rPr>
        <w:t>Acknowledgments</w:t>
      </w:r>
    </w:p>
    <w:p w14:paraId="2D716737">
      <w:pPr>
        <w:keepNext w:val="0"/>
        <w:spacing w:before="0" w:after="300" w:line="276" w:lineRule="auto"/>
        <w:jc w:val="both"/>
      </w:pPr>
      <w:r>
        <w:rPr>
          <w:rFonts w:ascii="Times New Roman" w:hAnsi="Times New Roman" w:eastAsia="Times New Roman" w:cs="Times New Roman"/>
          <w:b w:val="0"/>
          <w:bCs w:val="0"/>
          <w:i w:val="0"/>
          <w:iCs w:val="0"/>
          <w:sz w:val="22"/>
          <w:szCs w:val="22"/>
        </w:rPr>
        <w:t>The authors thank the Laboratory of Pharmacy, the Laboratory of Biomedicine, and the Laboratory of Anatomical Pathology, Faculty of Medicine, Universitas Andalas, for technical support during this study.</w:t>
      </w:r>
    </w:p>
    <w:p w14:paraId="46315058">
      <w:pPr>
        <w:pStyle w:val="2"/>
        <w:spacing w:before="360" w:after="200"/>
      </w:pPr>
      <w:r>
        <w:rPr>
          <w:rFonts w:ascii="Times New Roman" w:hAnsi="Times New Roman" w:eastAsia="Times New Roman" w:cs="Times New Roman"/>
          <w:b/>
          <w:bCs/>
          <w:caps w:val="0"/>
          <w:sz w:val="26"/>
          <w:szCs w:val="26"/>
        </w:rPr>
        <w:t>References</w:t>
      </w:r>
    </w:p>
    <w:p w14:paraId="159AC1D0">
      <w:pPr>
        <w:spacing w:after="140" w:line="264" w:lineRule="auto"/>
        <w:ind w:left="360" w:hanging="360"/>
        <w:jc w:val="both"/>
      </w:pPr>
      <w:r>
        <w:rPr>
          <w:rFonts w:ascii="Times New Roman" w:hAnsi="Times New Roman" w:eastAsia="Times New Roman" w:cs="Times New Roman"/>
          <w:sz w:val="19"/>
          <w:szCs w:val="19"/>
        </w:rPr>
        <w:t>1. Ahuja RB, Bhattacharya S. Burns in the developing world and burn disasters. BMJ. 2004;329(7463):447–9.</w:t>
      </w:r>
    </w:p>
    <w:p w14:paraId="081DED48">
      <w:pPr>
        <w:spacing w:after="140" w:line="264" w:lineRule="auto"/>
        <w:ind w:left="360" w:hanging="360"/>
        <w:jc w:val="both"/>
      </w:pPr>
      <w:r>
        <w:rPr>
          <w:rFonts w:ascii="Times New Roman" w:hAnsi="Times New Roman" w:eastAsia="Times New Roman" w:cs="Times New Roman"/>
          <w:sz w:val="19"/>
          <w:szCs w:val="19"/>
        </w:rPr>
        <w:t>2. World Health Organization. Burns [Internet]. Geneva: WHO; 2019 [cited 2026 Aug 30]. Available from: https://www.who.int/en/news-room/fact-sheets/detail/burns</w:t>
      </w:r>
    </w:p>
    <w:p w14:paraId="3CCD06A5">
      <w:pPr>
        <w:spacing w:after="140" w:line="264" w:lineRule="auto"/>
        <w:ind w:left="360" w:hanging="360"/>
        <w:jc w:val="both"/>
      </w:pPr>
      <w:r>
        <w:rPr>
          <w:rFonts w:ascii="Times New Roman" w:hAnsi="Times New Roman" w:eastAsia="Times New Roman" w:cs="Times New Roman"/>
          <w:sz w:val="19"/>
          <w:szCs w:val="19"/>
        </w:rPr>
        <w:t>3. Mock C, Peck M, Peden M, Krug E, editors. A WHO plan for burn prevention and care. Geneva: World Health Organization; 2008.</w:t>
      </w:r>
    </w:p>
    <w:p w14:paraId="21EC15F6">
      <w:pPr>
        <w:spacing w:after="140" w:line="264" w:lineRule="auto"/>
        <w:ind w:left="360" w:hanging="360"/>
        <w:jc w:val="both"/>
      </w:pPr>
      <w:r>
        <w:rPr>
          <w:rFonts w:ascii="Times New Roman" w:hAnsi="Times New Roman" w:eastAsia="Times New Roman" w:cs="Times New Roman"/>
          <w:sz w:val="19"/>
          <w:szCs w:val="19"/>
        </w:rPr>
        <w:t>4. Hidayat T, Noer MS, Saputro ID. Five years retrospective study of burns in Dr. Soetomo General Hospital Surabaya. Folia Med Indones. 2014;50(2):123–30.</w:t>
      </w:r>
    </w:p>
    <w:p w14:paraId="2084D317">
      <w:pPr>
        <w:spacing w:after="140" w:line="264" w:lineRule="auto"/>
        <w:ind w:left="360" w:hanging="360"/>
        <w:jc w:val="both"/>
      </w:pPr>
      <w:r>
        <w:rPr>
          <w:rFonts w:ascii="Times New Roman" w:hAnsi="Times New Roman" w:eastAsia="Times New Roman" w:cs="Times New Roman"/>
          <w:sz w:val="19"/>
          <w:szCs w:val="19"/>
        </w:rPr>
        <w:t>5. Goldberg SR, Diegelmann RF. Wound healing primer. Surg Clin North Am. 2012;92(3):485–90.</w:t>
      </w:r>
    </w:p>
    <w:p w14:paraId="6583DB25">
      <w:pPr>
        <w:spacing w:after="140" w:line="264" w:lineRule="auto"/>
        <w:ind w:left="360" w:hanging="360"/>
        <w:jc w:val="both"/>
      </w:pPr>
      <w:r>
        <w:rPr>
          <w:rFonts w:ascii="Times New Roman" w:hAnsi="Times New Roman" w:eastAsia="Times New Roman" w:cs="Times New Roman"/>
          <w:sz w:val="19"/>
          <w:szCs w:val="19"/>
        </w:rPr>
        <w:t>6. Cameron AM, Ruzehaji N, Cowin AJ. Burn wound management: a surgical perspective. Wound Pract Res. 2010;18(1):35–9.</w:t>
      </w:r>
    </w:p>
    <w:p w14:paraId="3756DAC1">
      <w:pPr>
        <w:spacing w:after="140" w:line="264" w:lineRule="auto"/>
        <w:ind w:left="360" w:hanging="360"/>
        <w:jc w:val="both"/>
      </w:pPr>
      <w:r>
        <w:rPr>
          <w:rFonts w:ascii="Times New Roman" w:hAnsi="Times New Roman" w:eastAsia="Times New Roman" w:cs="Times New Roman"/>
          <w:sz w:val="19"/>
          <w:szCs w:val="19"/>
        </w:rPr>
        <w:t>7. Häkkinen L, Koivisto L, Heino J, Larjava H. Cell and molecular biology of wound healing. In: Vishwakarma A, Sharpe P, Shi S, Ramalingam M, editors. Stem Cell Biology and Tissue Engineering in Dental Sciences. 1st ed. San Diego: Academic Press; 2014. p. 669–90.</w:t>
      </w:r>
    </w:p>
    <w:p w14:paraId="661A16AF">
      <w:pPr>
        <w:spacing w:after="140" w:line="264" w:lineRule="auto"/>
        <w:ind w:left="360" w:hanging="360"/>
        <w:jc w:val="both"/>
      </w:pPr>
      <w:r>
        <w:rPr>
          <w:rFonts w:ascii="Times New Roman" w:hAnsi="Times New Roman" w:eastAsia="Times New Roman" w:cs="Times New Roman"/>
          <w:sz w:val="19"/>
          <w:szCs w:val="19"/>
        </w:rPr>
        <w:t>8. Clark RAF. Overview and general considerations of wound repair. In: The Molecular and Cellular Biology of Wound Repair. New York: Springer Science+Business Media; 2011. p. 3–33.</w:t>
      </w:r>
    </w:p>
    <w:p w14:paraId="71E3959F">
      <w:pPr>
        <w:spacing w:after="140" w:line="264" w:lineRule="auto"/>
        <w:ind w:left="360" w:hanging="360"/>
        <w:jc w:val="both"/>
      </w:pPr>
      <w:r>
        <w:rPr>
          <w:rFonts w:ascii="Times New Roman" w:hAnsi="Times New Roman" w:eastAsia="Times New Roman" w:cs="Times New Roman"/>
          <w:sz w:val="19"/>
          <w:szCs w:val="19"/>
        </w:rPr>
        <w:t>9. Deonarine K, Panelli MC, Stashower ME, Jin P, Smith K, Slade HB, et al. Gene expression profiling of cutaneous wound healing. J Transl Med. 2007;5:11.</w:t>
      </w:r>
    </w:p>
    <w:p w14:paraId="3E32362C">
      <w:pPr>
        <w:spacing w:after="140" w:line="264" w:lineRule="auto"/>
        <w:ind w:left="360" w:hanging="360"/>
        <w:jc w:val="both"/>
      </w:pPr>
      <w:r>
        <w:rPr>
          <w:rFonts w:ascii="Times New Roman" w:hAnsi="Times New Roman" w:eastAsia="Times New Roman" w:cs="Times New Roman"/>
          <w:sz w:val="19"/>
          <w:szCs w:val="19"/>
        </w:rPr>
        <w:t>10. Gelse K, Pöschl E, Aigner T. Collagens—structure, function, and biosynthesis. Adv Drug Deliv Rev. 2003;55(12):1531–46.</w:t>
      </w:r>
    </w:p>
    <w:p w14:paraId="7793EF71">
      <w:pPr>
        <w:spacing w:after="140" w:line="264" w:lineRule="auto"/>
        <w:ind w:left="360" w:hanging="360"/>
        <w:jc w:val="both"/>
      </w:pPr>
      <w:r>
        <w:rPr>
          <w:rFonts w:ascii="Times New Roman" w:hAnsi="Times New Roman" w:eastAsia="Times New Roman" w:cs="Times New Roman"/>
          <w:sz w:val="19"/>
          <w:szCs w:val="19"/>
        </w:rPr>
        <w:t>11. Singh S, Young A, McNaught CE. The physiology of wound healing. Surgery. 2017;35(9):473–7.</w:t>
      </w:r>
    </w:p>
    <w:p w14:paraId="67E97EF7">
      <w:pPr>
        <w:spacing w:after="140" w:line="264" w:lineRule="auto"/>
        <w:ind w:left="360" w:hanging="360"/>
        <w:jc w:val="both"/>
      </w:pPr>
      <w:r>
        <w:rPr>
          <w:rFonts w:ascii="Times New Roman" w:hAnsi="Times New Roman" w:eastAsia="Times New Roman" w:cs="Times New Roman"/>
          <w:sz w:val="19"/>
          <w:szCs w:val="19"/>
        </w:rPr>
        <w:t>12. Rowan MP, Cancio LC, Elster EA, Burmeister DM, Rose LF, Natesan S, et al. Burn wound healing and treatment: review and advancements. Crit Care. 2015;19:243.</w:t>
      </w:r>
    </w:p>
    <w:p w14:paraId="5CF446CF">
      <w:pPr>
        <w:spacing w:after="140" w:line="264" w:lineRule="auto"/>
        <w:ind w:left="360" w:hanging="360"/>
        <w:jc w:val="both"/>
      </w:pPr>
      <w:r>
        <w:rPr>
          <w:rFonts w:ascii="Times New Roman" w:hAnsi="Times New Roman" w:eastAsia="Times New Roman" w:cs="Times New Roman"/>
          <w:sz w:val="19"/>
          <w:szCs w:val="19"/>
        </w:rPr>
        <w:t>13. ISBI Practice Guidelines Committee. ISBI practice guidelines for burn care. Burns. 2016;42(5):953–1021.</w:t>
      </w:r>
    </w:p>
    <w:p w14:paraId="6FAEC5C4">
      <w:pPr>
        <w:spacing w:after="140" w:line="264" w:lineRule="auto"/>
        <w:ind w:left="360" w:hanging="360"/>
        <w:jc w:val="both"/>
      </w:pPr>
      <w:r>
        <w:rPr>
          <w:rFonts w:ascii="Times New Roman" w:hAnsi="Times New Roman" w:eastAsia="Times New Roman" w:cs="Times New Roman"/>
          <w:sz w:val="19"/>
          <w:szCs w:val="19"/>
        </w:rPr>
        <w:t>14. Vowden K. Wound dressings: principles and practice. Surgery. 2017;35(9):489–94.</w:t>
      </w:r>
    </w:p>
    <w:p w14:paraId="3DCBBCE7">
      <w:pPr>
        <w:spacing w:after="140" w:line="264" w:lineRule="auto"/>
        <w:ind w:left="360" w:hanging="360"/>
        <w:jc w:val="both"/>
      </w:pPr>
      <w:r>
        <w:rPr>
          <w:rFonts w:ascii="Times New Roman" w:hAnsi="Times New Roman" w:eastAsia="Times New Roman" w:cs="Times New Roman"/>
          <w:sz w:val="19"/>
          <w:szCs w:val="19"/>
        </w:rPr>
        <w:t>15. Kappally S, Shirwaikar A, Shirwaikar A. Coconut oil—a review of potential applications. Hygeia J Drugs Med. 2015;7(2):34–41.</w:t>
      </w:r>
    </w:p>
    <w:p w14:paraId="0BC7111F">
      <w:pPr>
        <w:spacing w:after="140" w:line="264" w:lineRule="auto"/>
        <w:ind w:left="360" w:hanging="360"/>
        <w:jc w:val="both"/>
      </w:pPr>
      <w:r>
        <w:rPr>
          <w:rFonts w:ascii="Times New Roman" w:hAnsi="Times New Roman" w:eastAsia="Times New Roman" w:cs="Times New Roman"/>
          <w:sz w:val="19"/>
          <w:szCs w:val="19"/>
        </w:rPr>
        <w:t>16. Nitbani FO, Jumina, Siswanta D, Solikhah EN. Isolation and antibacterial activity test of lauric acid from crude coconut oil (Cocos nucifera L.). Procedia Chem. 2016;18:132–40.</w:t>
      </w:r>
    </w:p>
    <w:p w14:paraId="2B3F5B2F">
      <w:pPr>
        <w:spacing w:after="140" w:line="264" w:lineRule="auto"/>
        <w:ind w:left="360" w:hanging="360"/>
        <w:jc w:val="both"/>
      </w:pPr>
      <w:r>
        <w:rPr>
          <w:rFonts w:ascii="Times New Roman" w:hAnsi="Times New Roman" w:eastAsia="Times New Roman" w:cs="Times New Roman"/>
          <w:sz w:val="19"/>
          <w:szCs w:val="19"/>
        </w:rPr>
        <w:t>17. Cardoso CR, Souza MA, Ferro EA, Favoreto S Jr, Oliveira LL, Vancim JO, et al. Oleic acid modulation of the immune response in wound healing: a new approach for skin repair. Immunobiology. 2011;216(3):409–15.</w:t>
      </w:r>
    </w:p>
    <w:p w14:paraId="6438BD88">
      <w:pPr>
        <w:spacing w:after="140" w:line="264" w:lineRule="auto"/>
        <w:ind w:left="360" w:hanging="360"/>
        <w:jc w:val="both"/>
      </w:pPr>
      <w:r>
        <w:rPr>
          <w:rFonts w:ascii="Times New Roman" w:hAnsi="Times New Roman" w:eastAsia="Times New Roman" w:cs="Times New Roman"/>
          <w:sz w:val="19"/>
          <w:szCs w:val="19"/>
        </w:rPr>
        <w:t>18. Weimann E, Silva MBB, Murata GM, Golbert L, Marinho TS, Hagen SC, et al. Topical anti-inflammatory activity of palmitoleic acid improves wound healing. PLoS One. 2018;13(10):e0205338.</w:t>
      </w:r>
    </w:p>
    <w:p w14:paraId="523C6342">
      <w:pPr>
        <w:spacing w:after="140" w:line="264" w:lineRule="auto"/>
        <w:ind w:left="360" w:hanging="360"/>
        <w:jc w:val="both"/>
      </w:pPr>
      <w:r>
        <w:rPr>
          <w:rFonts w:ascii="Times New Roman" w:hAnsi="Times New Roman" w:eastAsia="Times New Roman" w:cs="Times New Roman"/>
          <w:sz w:val="19"/>
          <w:szCs w:val="19"/>
        </w:rPr>
        <w:t>19. Nevin KG, Rajamohan T. Effect of topical application of virgin coconut oil on skin components and antioxidant status during dermal wound healing in young rats. Skin Pharmacol Physiol. 2010;23(6):290–7.</w:t>
      </w:r>
    </w:p>
    <w:p w14:paraId="2AF1773A">
      <w:pPr>
        <w:spacing w:after="140" w:line="264" w:lineRule="auto"/>
        <w:ind w:left="360" w:hanging="360"/>
        <w:jc w:val="both"/>
      </w:pPr>
      <w:r>
        <w:rPr>
          <w:rFonts w:ascii="Times New Roman" w:hAnsi="Times New Roman" w:eastAsia="Times New Roman" w:cs="Times New Roman"/>
          <w:sz w:val="19"/>
          <w:szCs w:val="19"/>
        </w:rPr>
        <w:t>20. Durgaprasad S, Srivastava P. Burn wound healing property of Cocos nucifera: an appraisal. Indian J Pharmacol. 2008;40(4):144–6.</w:t>
      </w:r>
    </w:p>
    <w:p w14:paraId="2A34C7EC">
      <w:pPr>
        <w:spacing w:after="140" w:line="264" w:lineRule="auto"/>
        <w:ind w:left="360" w:hanging="360"/>
        <w:jc w:val="both"/>
      </w:pPr>
      <w:r>
        <w:rPr>
          <w:rFonts w:ascii="Times New Roman" w:hAnsi="Times New Roman" w:eastAsia="Times New Roman" w:cs="Times New Roman"/>
          <w:sz w:val="19"/>
          <w:szCs w:val="19"/>
        </w:rPr>
        <w:t>21. Silalahi J, Surbakti C. Burn wound healing activity of hydrolyzed virgin coconut oil. Int J PharmTech Res. 2015;8(1):67–73.</w:t>
      </w:r>
    </w:p>
    <w:p w14:paraId="317E32CE">
      <w:pPr>
        <w:spacing w:after="140" w:line="264" w:lineRule="auto"/>
        <w:ind w:left="360" w:hanging="360"/>
        <w:jc w:val="both"/>
      </w:pPr>
      <w:r>
        <w:rPr>
          <w:rFonts w:ascii="Times New Roman" w:hAnsi="Times New Roman" w:eastAsia="Times New Roman" w:cs="Times New Roman"/>
          <w:sz w:val="19"/>
          <w:szCs w:val="19"/>
        </w:rPr>
        <w:t>22. Pigeon J. Treatment of second-degree burns with amniotic membranes. Can Med Assoc J. 1960;83(16):844–5.</w:t>
      </w:r>
    </w:p>
    <w:p w14:paraId="09666D3A">
      <w:pPr>
        <w:spacing w:after="140" w:line="264" w:lineRule="auto"/>
        <w:ind w:left="360" w:hanging="360"/>
        <w:jc w:val="both"/>
      </w:pPr>
      <w:r>
        <w:rPr>
          <w:rFonts w:ascii="Times New Roman" w:hAnsi="Times New Roman" w:eastAsia="Times New Roman" w:cs="Times New Roman"/>
          <w:sz w:val="19"/>
          <w:szCs w:val="19"/>
        </w:rPr>
        <w:t>23. Koob TJ, Lim JJ, Massee M, Zabek N, Denozière G. Properties of dehydrated human amnion/chorion composite grafts: implications for wound repair and soft tissue regeneration. J Biomed Mater Res B Appl Biomater. 2014;102(6):1353–62.</w:t>
      </w:r>
    </w:p>
    <w:p w14:paraId="25F06145">
      <w:pPr>
        <w:spacing w:after="140" w:line="264" w:lineRule="auto"/>
        <w:ind w:left="360" w:hanging="360"/>
        <w:jc w:val="both"/>
      </w:pPr>
      <w:r>
        <w:rPr>
          <w:rFonts w:ascii="Times New Roman" w:hAnsi="Times New Roman" w:eastAsia="Times New Roman" w:cs="Times New Roman"/>
          <w:sz w:val="19"/>
          <w:szCs w:val="19"/>
        </w:rPr>
        <w:t>24. Koob TJ, Rennert R, Zabek N, Massee M, Lim JJ, Temenoff JS, et al. Biological properties of dehydrated human amnion/chorion composite graft: implications for chronic wound healing. Int Wound J. 2013;10(5):493–500.</w:t>
      </w:r>
    </w:p>
    <w:p w14:paraId="69568CE5">
      <w:pPr>
        <w:spacing w:after="140" w:line="264" w:lineRule="auto"/>
        <w:ind w:left="360" w:hanging="360"/>
        <w:jc w:val="both"/>
      </w:pPr>
      <w:r>
        <w:rPr>
          <w:rFonts w:ascii="Times New Roman" w:hAnsi="Times New Roman" w:eastAsia="Times New Roman" w:cs="Times New Roman"/>
          <w:sz w:val="19"/>
          <w:szCs w:val="19"/>
        </w:rPr>
        <w:t>25. Federer WT. Experimental Design: Theory and Application. New York: Macmillan; 1963.</w:t>
      </w:r>
    </w:p>
    <w:p w14:paraId="2BD53BD4">
      <w:pPr>
        <w:spacing w:after="140" w:line="264" w:lineRule="auto"/>
        <w:ind w:left="360" w:hanging="360"/>
        <w:jc w:val="both"/>
      </w:pPr>
      <w:r>
        <w:rPr>
          <w:rFonts w:ascii="Times New Roman" w:hAnsi="Times New Roman" w:eastAsia="Times New Roman" w:cs="Times New Roman"/>
          <w:sz w:val="19"/>
          <w:szCs w:val="19"/>
        </w:rPr>
        <w:t>26. Pereira DDST, Aguiar LM, Souza AA, Lima MA, Silva WCB, Marinho SC, et al. Development of animal model for studying deep second-degree thermal burns. J Biomed Biotechnol. 2012;2012:460841.</w:t>
      </w:r>
    </w:p>
    <w:p w14:paraId="30E0A8F0">
      <w:pPr>
        <w:spacing w:after="140" w:line="264" w:lineRule="auto"/>
        <w:ind w:left="360" w:hanging="360"/>
        <w:jc w:val="both"/>
      </w:pPr>
      <w:r>
        <w:rPr>
          <w:rFonts w:ascii="Times New Roman" w:hAnsi="Times New Roman" w:eastAsia="Times New Roman" w:cs="Times New Roman"/>
          <w:sz w:val="19"/>
          <w:szCs w:val="19"/>
        </w:rPr>
        <w:t>27. Varma SR, Sivaprakasam TO, Arumugam I, Dilip N, Raghuraman M, Pavan KB, et al. In vitro anti-inflammatory and skin protective properties of virgin coconut oil. J Tradit Complement Med. 2019;9(1):5–13.</w:t>
      </w:r>
    </w:p>
    <w:p w14:paraId="59DFE034">
      <w:pPr>
        <w:spacing w:after="140" w:line="264" w:lineRule="auto"/>
        <w:ind w:left="360" w:hanging="360"/>
        <w:jc w:val="both"/>
      </w:pPr>
      <w:r>
        <w:rPr>
          <w:rFonts w:ascii="Times New Roman" w:hAnsi="Times New Roman" w:eastAsia="Times New Roman" w:cs="Times New Roman"/>
          <w:sz w:val="19"/>
          <w:szCs w:val="19"/>
        </w:rPr>
        <w:t>28. Zakaria ZA, Somchit MN, Mat Jais AM, Teh LK, Salleh MZ, Long K. In vivo antinociceptive and anti-inflammatory activities of dried and fermented processed virgin coconut oil. Med Princ Pract. 2011;20(3):231–6.</w:t>
      </w:r>
    </w:p>
    <w:p w14:paraId="4DB2D0EC">
      <w:pPr>
        <w:spacing w:after="140" w:line="264" w:lineRule="auto"/>
        <w:ind w:left="360" w:hanging="360"/>
        <w:jc w:val="both"/>
      </w:pPr>
      <w:r>
        <w:rPr>
          <w:rFonts w:ascii="Times New Roman" w:hAnsi="Times New Roman" w:eastAsia="Times New Roman" w:cs="Times New Roman"/>
          <w:sz w:val="19"/>
          <w:szCs w:val="19"/>
        </w:rPr>
        <w:t>29. Intahphuak S, Khonsung P, Panthong A. Anti-inflammatory, analgesic, and antipyretic activities of virgin coconut oil. Pharm Biol. 2010;48(2):151–7.</w:t>
      </w:r>
    </w:p>
    <w:p w14:paraId="0ED54630">
      <w:pPr>
        <w:spacing w:after="140" w:line="264" w:lineRule="auto"/>
        <w:ind w:left="360" w:hanging="360"/>
        <w:jc w:val="both"/>
      </w:pPr>
      <w:r>
        <w:rPr>
          <w:rFonts w:ascii="Times New Roman" w:hAnsi="Times New Roman" w:eastAsia="Times New Roman" w:cs="Times New Roman"/>
          <w:sz w:val="19"/>
          <w:szCs w:val="19"/>
        </w:rPr>
        <w:t>30. Famurewa AC, Azubuike-Osu SO, Enohnyaket EB, Obaje SG, Folawiyo AM, Famurewa OA, et al. Beneficial role of virgin coconut oil supplementation against acute methotrexate chemotherapy-induced oxidative toxicity and inflammation in rats. Integr Med Res. 2018;7(3):257–63.</w:t>
      </w:r>
    </w:p>
    <w:p w14:paraId="0D42C502">
      <w:pPr>
        <w:spacing w:after="140" w:line="264" w:lineRule="auto"/>
        <w:ind w:left="360" w:hanging="360"/>
        <w:jc w:val="both"/>
      </w:pPr>
      <w:r>
        <w:rPr>
          <w:rFonts w:ascii="Times New Roman" w:hAnsi="Times New Roman" w:eastAsia="Times New Roman" w:cs="Times New Roman"/>
          <w:sz w:val="19"/>
          <w:szCs w:val="19"/>
        </w:rPr>
        <w:t>31. Batool SH. The effect of coconut oil extract on full thickness wound healing on the female rabbits. Bas J Vet Res. 2012;11(2):28–36.</w:t>
      </w:r>
    </w:p>
    <w:p w14:paraId="18E49DAC">
      <w:pPr>
        <w:spacing w:after="140" w:line="264" w:lineRule="auto"/>
        <w:ind w:left="360" w:hanging="360"/>
        <w:jc w:val="both"/>
      </w:pPr>
      <w:r>
        <w:rPr>
          <w:rFonts w:ascii="Times New Roman" w:hAnsi="Times New Roman" w:eastAsia="Times New Roman" w:cs="Times New Roman"/>
          <w:sz w:val="19"/>
          <w:szCs w:val="19"/>
        </w:rPr>
        <w:t>32. Soliman AM, Lin TS, Ghafar NA, Das S. Virgin coconut oil and diabetic wound healing: histopathological and biochemical analysis. Eur J Anat. 2018;22(2):135–44.</w:t>
      </w:r>
    </w:p>
    <w:p w14:paraId="0C206B93">
      <w:pPr>
        <w:spacing w:after="140" w:line="264" w:lineRule="auto"/>
        <w:ind w:left="360" w:hanging="360"/>
        <w:jc w:val="both"/>
      </w:pPr>
      <w:r>
        <w:rPr>
          <w:rFonts w:ascii="Times New Roman" w:hAnsi="Times New Roman" w:eastAsia="Times New Roman" w:cs="Times New Roman"/>
          <w:sz w:val="19"/>
          <w:szCs w:val="19"/>
        </w:rPr>
        <w:t>33. Wong VW, Sorkin M, Glotzbach JP, Longaker MT, Gurtner GC. Surgical approaches to create murine models of human wound healing. J Biomed Biotechnol. 2011;2011:969618.</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233030FD"/>
    <w:rsid w:val="304058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4831</Words>
  <Characters>28659</Characters>
  <TotalTime>9</TotalTime>
  <ScaleCrop>false</ScaleCrop>
  <LinksUpToDate>false</LinksUpToDate>
  <CharactersWithSpaces>33328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2026-08-31T19:06:00Z</dcterms:created>
  <dc:creator>Un-named</dc:creator>
  <cp:lastModifiedBy>tuti lestari</cp:lastModifiedBy>
  <dcterms:modified xsi:type="dcterms:W3CDTF">2026-09-03T05:18:41Z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eyJoZGlkIjoiZTczYmQ4MTJiM2ExNWRlNjgxYjYzNTg0OTIwNTk0YTIiLCJ1c2VySWQiOiI5Nzk4ODk1MTgwOTcifQ==</vt:lpwstr>
  </property>
  <property fmtid="{D5CDD505-2E9C-101B-9397-08002B2CF9AE}" pid="3" name="KSOProductBuildVer">
    <vt:lpwstr>1033-12.1.0.28032</vt:lpwstr>
  </property>
  <property fmtid="{D5CDD505-2E9C-101B-9397-08002B2CF9AE}" pid="4" name="ICV">
    <vt:lpwstr>0831945C06B140818528EF008B31C2BE_13</vt:lpwstr>
  </property>
</Properties>
</file>