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428D" w14:textId="77777777" w:rsidR="00256BA5" w:rsidRDefault="00000000">
      <w:pPr>
        <w:spacing w:before="120"/>
      </w:pPr>
      <w:r>
        <w:rPr>
          <w:b/>
        </w:rPr>
        <w:t>ABSTRACT</w:t>
      </w:r>
    </w:p>
    <w:p w14:paraId="13D8ED92" w14:textId="77777777" w:rsidR="00256BA5" w:rsidRDefault="00000000" w:rsidP="009C3D47">
      <w:pPr>
        <w:jc w:val="both"/>
      </w:pPr>
      <w:r>
        <w:rPr>
          <w:b/>
        </w:rPr>
        <w:t xml:space="preserve">Background: </w:t>
      </w:r>
      <w:r>
        <w:t>TCF7L2 is a major susceptibility gene for type 2 diabetes mellitus (T2DM), but population-specific evidence from Indonesia remains limited. We evaluated whether rs12255372 was associated with T2DM, C-peptide, or insulin resistance in Indonesian adults.</w:t>
      </w:r>
    </w:p>
    <w:p w14:paraId="041EC56C" w14:textId="77777777" w:rsidR="00256BA5" w:rsidRDefault="00000000" w:rsidP="009C3D47">
      <w:pPr>
        <w:jc w:val="both"/>
      </w:pPr>
      <w:r>
        <w:rPr>
          <w:b/>
        </w:rPr>
        <w:t xml:space="preserve">Methods: </w:t>
      </w:r>
      <w:r>
        <w:t>This case-control study enrolled 181 participants: 111 with T2DM, 60 non-diabetic controls, and 10 with type 1 diabetes mellitus as a descriptive metabolic comparison group. Genomic DNA was amplified by polymerase chain reaction, and genotypes were determined by Sanger sequencing. Fasting glucose, glycated hemoglobin (HbA1c), insulin, C-peptide, and homeostasis model assessment of insulin resistance (HOMA-IR) were assessed. The primary genetic association analysis compared T2DM cases with controls; exploratory genotype-phenotype analyses included the full genotyped cohort.</w:t>
      </w:r>
    </w:p>
    <w:p w14:paraId="2B88695F" w14:textId="77777777" w:rsidR="00256BA5" w:rsidRDefault="00000000">
      <w:r>
        <w:rPr>
          <w:b/>
        </w:rPr>
        <w:t xml:space="preserve">Results: </w:t>
      </w:r>
      <w:r>
        <w:t>GG was present in 96.4% of T2DM cases and 96.7% of controls. GT occurred in 3.6% and 3.3%, respectively, and no TT genotype was detected. The variant was not associated with T2DM (odds ratio, 1.08; 95% confidence interval, 0.19–6.16; P=0.930). C-peptide and HOMA-IR did not differ significantly between GG and GT carriers (P=0.157 and P=0.609, respectively). Genotype was also not significant in the adjusted model.</w:t>
      </w:r>
    </w:p>
    <w:p w14:paraId="2B3F30A3" w14:textId="77777777" w:rsidR="00256BA5" w:rsidRDefault="00000000" w:rsidP="009C3D47">
      <w:pPr>
        <w:jc w:val="both"/>
      </w:pPr>
      <w:r>
        <w:rPr>
          <w:b/>
        </w:rPr>
        <w:t xml:space="preserve">Conclusion: </w:t>
      </w:r>
      <w:r>
        <w:t>The rs12255372 T allele was rare, and no detectable association with T2DM or the assessed metabolic phenotypes was identified. Larger ancestry-informed studies are needed.</w:t>
      </w:r>
    </w:p>
    <w:p w14:paraId="3239AFDD" w14:textId="77777777" w:rsidR="00256BA5" w:rsidRDefault="00000000" w:rsidP="009C3D47">
      <w:pPr>
        <w:jc w:val="both"/>
      </w:pPr>
      <w:r>
        <w:rPr>
          <w:b/>
        </w:rPr>
        <w:t xml:space="preserve">Keywords: </w:t>
      </w:r>
      <w:r>
        <w:t>Transcription Factor 7-Like 2 Protein; Diabetes Mellitus, Type 2; C-Peptide; Insulin Resistance</w:t>
      </w:r>
    </w:p>
    <w:p w14:paraId="6A1C722C" w14:textId="77777777" w:rsidR="00256BA5" w:rsidRDefault="00000000">
      <w:pPr>
        <w:spacing w:before="120"/>
      </w:pPr>
      <w:r>
        <w:rPr>
          <w:b/>
        </w:rPr>
        <w:lastRenderedPageBreak/>
        <w:t>INTRODUCTION</w:t>
      </w:r>
    </w:p>
    <w:p w14:paraId="6054E75C" w14:textId="77777777" w:rsidR="00256BA5" w:rsidRDefault="00000000" w:rsidP="009C3D47">
      <w:pPr>
        <w:jc w:val="both"/>
      </w:pPr>
      <w:r>
        <w:t>Type 2 diabetes mellitus (T2DM) is a chronic metabolic disorder arising from the interaction of impaired insulin secretion, insulin resistance, environmental exposure, and genetic susceptibility. It is a major contributor to premature mortality, disability, and health-care expenditure. The global burden continues to rise, with particularly rapid increases in low- and middle-income countries, including Indonesia [1-4]. Because genetic architecture differs across ancestral groups, population-specific evidence is needed before risk variants identified elsewhere are used for prediction or stratification in Southeast Asian populations.</w:t>
      </w:r>
    </w:p>
    <w:p w14:paraId="343CAB69" w14:textId="77777777" w:rsidR="00256BA5" w:rsidRDefault="00000000" w:rsidP="009C3D47">
      <w:pPr>
        <w:jc w:val="both"/>
      </w:pPr>
      <w:r>
        <w:t>Among established T2DM susceptibility loci, transcription factor 7-like 2 (TCF7L2) is one of the most consistently replicated. TCF7L2 is located on chromosome 10q25.2-q25.3 and encodes a transcription factor involved in Wnt/beta-catenin signaling, incretin responsiveness, pancreatic beta-cell activity, insulin secretion, and glucose homeostasis [5-8]. The intronic single-nucleotide polymorphism rs12255372 (G&gt;T) has been associated with T2DM and altered beta-cell function in several populations. However, allele frequency and effect estimates vary considerably by ancestry, linkage disequilibrium structure, and environmental context [9-15].</w:t>
      </w:r>
    </w:p>
    <w:p w14:paraId="16889FB5" w14:textId="77777777" w:rsidR="00256BA5" w:rsidRDefault="00000000" w:rsidP="009C3D47">
      <w:pPr>
        <w:jc w:val="both"/>
      </w:pPr>
      <w:r>
        <w:t>Data from Indonesian populations remain limited, particularly studies that combine rs12255372 genotyping with metabolic indicators of endogenous insulin secretion and insulin resistance. C-peptide reflects endogenous insulin production, whereas the homeostasis model assessment of insulin resistance (HOMA-IR) estimates insulin resistance. Considering these phenotypes alongside genotype may clarify whether a population-specific variant is related to diabetes susceptibility, beta-cell function, or insulin resistance [16-18].</w:t>
      </w:r>
    </w:p>
    <w:p w14:paraId="12639DF3" w14:textId="77777777" w:rsidR="00256BA5" w:rsidRDefault="00000000" w:rsidP="009C3D47">
      <w:pPr>
        <w:jc w:val="both"/>
      </w:pPr>
      <w:r>
        <w:lastRenderedPageBreak/>
        <w:t>This study evaluated the association of TCF7L2 rs12255372 with T2DM susceptibility, C-peptide concentrations, and HOMA-IR in Indonesian adults. Genotyping was performed by polymerase chain reaction (PCR) amplification followed by Sanger sequencing. A small type 1 diabetes mellitus (T1DM) group was included as a descriptive metabolic comparison to illustrate severe beta-cell dysfunction.</w:t>
      </w:r>
    </w:p>
    <w:p w14:paraId="5FDF2FDC" w14:textId="77777777" w:rsidR="00F87D50" w:rsidRDefault="00F87D50">
      <w:pPr>
        <w:spacing w:before="120"/>
        <w:rPr>
          <w:b/>
        </w:rPr>
      </w:pPr>
    </w:p>
    <w:p w14:paraId="6578F65D" w14:textId="77777777" w:rsidR="00F87D50" w:rsidRDefault="00F87D50">
      <w:pPr>
        <w:spacing w:before="120"/>
        <w:rPr>
          <w:b/>
        </w:rPr>
      </w:pPr>
    </w:p>
    <w:p w14:paraId="12AF39CA" w14:textId="103BE97C" w:rsidR="00256BA5" w:rsidRDefault="00000000">
      <w:pPr>
        <w:spacing w:before="120"/>
      </w:pPr>
      <w:r>
        <w:rPr>
          <w:b/>
        </w:rPr>
        <w:t>METHODS</w:t>
      </w:r>
    </w:p>
    <w:p w14:paraId="6748AAEF" w14:textId="77777777" w:rsidR="00256BA5" w:rsidRDefault="00000000">
      <w:r>
        <w:rPr>
          <w:b/>
        </w:rPr>
        <w:t>Ethics statement</w:t>
      </w:r>
    </w:p>
    <w:p w14:paraId="69D287A3" w14:textId="77777777" w:rsidR="00256BA5" w:rsidRDefault="00000000" w:rsidP="009C3D47">
      <w:pPr>
        <w:jc w:val="both"/>
      </w:pPr>
      <w:r>
        <w:t>The study was conducted in accordance with the Declaration of Helsinki and was approved by the institutional research ethics committee (Approval No. 563/UN4.6.4.5.31/PP36/2025). Written informed consent was obtained from all participants before enrollment.</w:t>
      </w:r>
    </w:p>
    <w:p w14:paraId="4CAA58DF" w14:textId="77777777" w:rsidR="00256BA5" w:rsidRDefault="00000000">
      <w:r>
        <w:rPr>
          <w:b/>
        </w:rPr>
        <w:t>Study design and participants</w:t>
      </w:r>
    </w:p>
    <w:p w14:paraId="3E2048FD" w14:textId="77777777" w:rsidR="00256BA5" w:rsidRDefault="00000000" w:rsidP="009C3D47">
      <w:pPr>
        <w:jc w:val="both"/>
      </w:pPr>
      <w:r>
        <w:t>This observational analytic study used a case-control design and was conducted between July and December 2025. A total of 181 adults were enrolled, comprising 111 participants with T2DM, 60 non-diabetic controls, and 10 participants with T1DM. The primary case-control analysis of T2DM susceptibility was restricted to participants with T2DM and non-diabetic controls. The T1DM group was included only as a descriptive metabolic comparison because of its relatively small sample size and was not considered a primary comparison group in the genetic association analysis. Exploratory genotype-phenotype analyses of C-peptide and HOMA-IR included the full genotyped cohort of 181 participants. Participants represented several Indonesian ethnic backgrounds, including Banjar, Dayak, Javanese, Bugis, Butonese, and Minangkabau.</w:t>
      </w:r>
    </w:p>
    <w:p w14:paraId="779CF3EA" w14:textId="77777777" w:rsidR="00256BA5" w:rsidRDefault="00000000" w:rsidP="009C3D47">
      <w:pPr>
        <w:jc w:val="both"/>
      </w:pPr>
      <w:r>
        <w:lastRenderedPageBreak/>
        <w:t>T2DM was diagnosed according to the American Diabetes Association Standards of Care in Diabetes—2025 [19]. Non-diabetic controls had normal fasting blood glucose levels and no previous history of diabetes mellitus. Eligible participants were aged at least 18 years. Exclusion criteria were severe systemic illness, pregnancy, malignancy, acute infection, or incomplete laboratory data.</w:t>
      </w:r>
    </w:p>
    <w:p w14:paraId="5B464853" w14:textId="77777777" w:rsidR="00256BA5" w:rsidRDefault="00000000">
      <w:r>
        <w:rPr>
          <w:b/>
        </w:rPr>
        <w:t>Clinical and biochemical measurements</w:t>
      </w:r>
    </w:p>
    <w:p w14:paraId="32517CC8" w14:textId="77777777" w:rsidR="00256BA5" w:rsidRDefault="00000000" w:rsidP="009C3D47">
      <w:pPr>
        <w:jc w:val="both"/>
      </w:pPr>
      <w:r>
        <w:t>Peripheral venous blood was collected after an overnight fast. Fasting blood glucose was measured using a BIOLIS 50i Superior automated clinical analyzer (Biolis Medical Corp., Hino, Tokyo, Japan) with an enzymatic method. Glycated hemoglobin (HbA1c) was measured using an ADAMS HA-8380V glycohemoglobin analyzer (ARKRAY Factory, Inc., Koka, Shiga, Japan) based on ion-exchange chromatography. Fasting insulin and C-peptide concentrations were measured using a VIRTUEDX VERCENTRA CS-1500 analyzer (PT Darma Labora Indonesia, Cikarang, Bekasi, West Java, Indonesia) with a chemiluminescence immunoassay method. HOMA-IR was calculated as fasting insulin (mIU/L) multiplied by fasting glucose (mmol/L), divided by 22.5. C-peptide was used as an indicator of endogenous insulin secretion.</w:t>
      </w:r>
    </w:p>
    <w:p w14:paraId="7B2CDC52" w14:textId="77777777" w:rsidR="00256BA5" w:rsidRDefault="00000000">
      <w:r>
        <w:rPr>
          <w:b/>
        </w:rPr>
        <w:t>DNA extraction, PCR, and Sanger sequencing</w:t>
      </w:r>
    </w:p>
    <w:p w14:paraId="030D2390" w14:textId="77777777" w:rsidR="00256BA5" w:rsidRDefault="00000000" w:rsidP="009C3D47">
      <w:pPr>
        <w:jc w:val="both"/>
      </w:pPr>
      <w:r>
        <w:t>Peripheral venous blood (3–5 mL) was collected in EDTA tubes. Genomic DNA was extracted from 200 µL of whole blood using the Geneaid Genomic DNA Mini Kit (Blood; Geneaid Biotech Ltd., New Taipei City, Taiwan) according to the manufacturer's instructions. The procedure included proteinase K digestion, cell lysis, binding to a silica membrane, washing, and elution in 100 µL of elution buffer. Purified DNA was stored at −40 °C until amplification.</w:t>
      </w:r>
    </w:p>
    <w:p w14:paraId="2A1A02D6" w14:textId="154DCC01" w:rsidR="00256BA5" w:rsidRDefault="00000000" w:rsidP="009C3D47">
      <w:pPr>
        <w:jc w:val="both"/>
      </w:pPr>
      <w:r>
        <w:lastRenderedPageBreak/>
        <w:t xml:space="preserve">A 346-bp fragment containing TCF7L2 rs12255372 was amplified using the forward primer 5′-CTGGAAACTAAGGCGTGAGG-3′ and reverse primer 5′-GGGTCGATGTTGTTGAGCTT-3′. </w:t>
      </w:r>
      <w:r w:rsidR="009F745C" w:rsidRPr="009F745C">
        <w:t>PCR amplification was performed using a 2× PCR Master Mix containing Taq DNA polymerase in a T100 Thermal Cycler (Bio-Rad Laboratories, Inc., Hercules, CA, USA)</w:t>
      </w:r>
      <w:r>
        <w:t>. PCR comprised initial denaturation at 95 °C for 5 min; 40 cycles of denaturation at 95 °C for 15 s, annealing at 65 °C for 15 s, and extension at 72 °C for 45 s; and final extension at 72 °C for 15 min. All 181 PCR-amplified samples were subjected to Sanger sequencing through 1st BASE Sanger Sequencing Services using an ABI PRISM 3730xl Genetic Analyzer (Applied Biosystems, Foster City, CA, USA) for genotype determination.</w:t>
      </w:r>
    </w:p>
    <w:p w14:paraId="42EB9613" w14:textId="77777777" w:rsidR="00256BA5" w:rsidRDefault="00000000" w:rsidP="009C3D47">
      <w:pPr>
        <w:jc w:val="both"/>
      </w:pPr>
      <w:r>
        <w:t>Chromatograms were analyzed using Geneious software, and variant identity was verified against NCBI dbSNP rs12255372. The locus was mapped to the GRCh38.p14 human genome assembly and is described in HGVS genomic nomenclature as NC_000010.</w:t>
      </w:r>
      <w:proofErr w:type="gramStart"/>
      <w:r>
        <w:t>11:g.</w:t>
      </w:r>
      <w:proofErr w:type="gramEnd"/>
      <w:r>
        <w:t>113049143G&gt;T. A single guanine peak at the polymorphic locus was classified as GG, whereas overlapping guanine and thymine peaks were classified as GT. No TT genotype was detected.</w:t>
      </w:r>
    </w:p>
    <w:p w14:paraId="62E92893" w14:textId="77777777" w:rsidR="00256BA5" w:rsidRDefault="00000000">
      <w:r>
        <w:rPr>
          <w:b/>
        </w:rPr>
        <w:t>Statistical analysis</w:t>
      </w:r>
    </w:p>
    <w:p w14:paraId="25C668CB" w14:textId="77777777" w:rsidR="00256BA5" w:rsidRDefault="00000000" w:rsidP="009C3D47">
      <w:pPr>
        <w:jc w:val="both"/>
      </w:pPr>
      <w:r>
        <w:t>Continuous variables are presented as mean ± standard deviation or median (interquartile range), according to data distribution, whereas categorical variables are presented as counts. For comparisons among the T2DM, non-diabetic control, and T1DM groups, normally distributed continuous variables were analyzed using one-way analysis of variance, whereas non-normally distributed continuous variables were analyzed using the Kruskal–</w:t>
      </w:r>
      <w:proofErr w:type="gramStart"/>
      <w:r>
        <w:t>Wallis</w:t>
      </w:r>
      <w:proofErr w:type="gramEnd"/>
      <w:r>
        <w:t xml:space="preserve"> test. Sex distribution was compared using Fisher's exact test.</w:t>
      </w:r>
    </w:p>
    <w:p w14:paraId="47AF01F9" w14:textId="77777777" w:rsidR="00256BA5" w:rsidRDefault="00000000" w:rsidP="009C3D47">
      <w:pPr>
        <w:jc w:val="both"/>
      </w:pPr>
      <w:r>
        <w:lastRenderedPageBreak/>
        <w:t>In the primary case-control analysis, genotype and allele distributions between participants with T2DM and non-diabetic controls were compared using Fisher's exact test. Hardy–Weinberg equilibrium was evaluated in the control group. Exploratory genotype-phenotype comparisons of C-peptide and HOMA-IR were performed in the full genotyped cohort using the Mann–Whitney U test.</w:t>
      </w:r>
    </w:p>
    <w:p w14:paraId="1FEB7936" w14:textId="77777777" w:rsidR="00256BA5" w:rsidRDefault="00000000" w:rsidP="009C3D47">
      <w:pPr>
        <w:jc w:val="both"/>
      </w:pPr>
      <w:r>
        <w:t>Multivariable logistic regression was performed to evaluate independent correlates of T2DM case status. Diabetes status was coded as 0 for non-diabetic controls and 1 for T2DM. The TCF7L2 rs12255372 genotype was coded as 0 for GG and 1 for GT; no TT genotype was identified. Sex was coded as 0 for female and 1 for male. The regression model evaluated the association between GT carrier status and T2DM after adjustment for age, body mass index (BMI), and sex. Odds ratios (ORs) with 95% confidence intervals (CIs) are reported.</w:t>
      </w:r>
    </w:p>
    <w:p w14:paraId="2795D899" w14:textId="77777777" w:rsidR="00256BA5" w:rsidRDefault="00000000" w:rsidP="009C3D47">
      <w:pPr>
        <w:jc w:val="both"/>
      </w:pPr>
      <w:r>
        <w:t>Statistical significance was defined as P&lt;0.05. All analyses were performed using IBM SPSS Statistics version 26.0 (IBM Corp., Armonk, NY, USA). Because the rs12255372 T allele was rare and no TT homozygotes were identified, statistical power to detect modest genetic effects was limited. Reporting was guided by the Strengthening the Reporting of Genetic Association Studies (STREGA) recommendations [20].</w:t>
      </w:r>
    </w:p>
    <w:p w14:paraId="7291C82E" w14:textId="77777777" w:rsidR="00F87D50" w:rsidRDefault="00F87D50">
      <w:pPr>
        <w:spacing w:before="120"/>
        <w:rPr>
          <w:b/>
        </w:rPr>
      </w:pPr>
    </w:p>
    <w:p w14:paraId="31854896" w14:textId="77777777" w:rsidR="00F87D50" w:rsidRDefault="00F87D50">
      <w:pPr>
        <w:spacing w:before="120"/>
        <w:rPr>
          <w:b/>
        </w:rPr>
      </w:pPr>
    </w:p>
    <w:p w14:paraId="3AA3201A" w14:textId="5DB98738" w:rsidR="00256BA5" w:rsidRDefault="00000000">
      <w:pPr>
        <w:spacing w:before="120"/>
      </w:pPr>
      <w:r>
        <w:rPr>
          <w:b/>
        </w:rPr>
        <w:t>RESULTS</w:t>
      </w:r>
    </w:p>
    <w:p w14:paraId="1F1359F7" w14:textId="77777777" w:rsidR="00256BA5" w:rsidRDefault="00000000">
      <w:r>
        <w:rPr>
          <w:b/>
        </w:rPr>
        <w:t>Participant characteristics</w:t>
      </w:r>
    </w:p>
    <w:p w14:paraId="446F2E60" w14:textId="77777777" w:rsidR="00256BA5" w:rsidRDefault="00000000" w:rsidP="009C3D47">
      <w:pPr>
        <w:jc w:val="both"/>
      </w:pPr>
      <w:r>
        <w:t xml:space="preserve">The clinical and biochemical characteristics of the 181 participants are summarized in Table 1. Participants with T2DM were older and had higher fasting glucose, HbA1c, insulin, and HOMA-IR values than non-diabetic controls. The T1DM descriptive group </w:t>
      </w:r>
      <w:r>
        <w:lastRenderedPageBreak/>
        <w:t>had markedly lower C-peptide concentrations, consistent with severe loss of endogenous insulin secretion.</w:t>
      </w:r>
    </w:p>
    <w:p w14:paraId="7852E3F3" w14:textId="77777777" w:rsidR="00256BA5" w:rsidRDefault="00000000">
      <w:r>
        <w:rPr>
          <w:b/>
        </w:rPr>
        <w:t>Genotype distribution and association with T2DM</w:t>
      </w:r>
    </w:p>
    <w:p w14:paraId="1EFFE1A2" w14:textId="77777777" w:rsidR="00256BA5" w:rsidRDefault="00000000" w:rsidP="009C3D47">
      <w:pPr>
        <w:jc w:val="both"/>
      </w:pPr>
      <w:r>
        <w:t>The GG genotype predominated in both the T2DM and control groups. GT was detected in 4 of 111 participants with T2DM (3.6%) and 2 of 60 controls (3.3%); no TT genotype was observed. The control genotype distribution did not deviate from Hardy-Weinberg equilibrium (P=1.000). Neither genotype nor allele distribution differed significantly between groups. Compared with GG, GT was not associated with T2DM (OR 1.08, 95% CI 0.19–6.16; P=0.930) (Table 2). Representative chromatograms are shown in Fig. 1.</w:t>
      </w:r>
    </w:p>
    <w:p w14:paraId="597FBD2C" w14:textId="77777777" w:rsidR="00256BA5" w:rsidRDefault="00000000">
      <w:r>
        <w:rPr>
          <w:b/>
        </w:rPr>
        <w:t>C-peptide and HOMA-IR by genotype</w:t>
      </w:r>
    </w:p>
    <w:p w14:paraId="1489191A" w14:textId="77777777" w:rsidR="00256BA5" w:rsidRDefault="00000000" w:rsidP="009C3D47">
      <w:pPr>
        <w:jc w:val="both"/>
      </w:pPr>
      <w:r>
        <w:t>Exploratory genotype-phenotype analyses were conducted using the full genotyped cohort of 181 participants, including participants with T2DM, non-diabetic controls, and T1DM. Median C-peptide concentrations were slightly higher among GT carriers than GG carriers [0.79 (0.70–0.86) vs 0.70 (0.50–0.83) nmol/L], although the difference was not statistically significant (P=0.157). Similarly, median HOMA-IR was slightly higher among GT carriers than GG carriers [3.0 (1.9–3.7) vs 2.7 (1.6–3.6)], but the difference was not statistically significant (P=0.609) (Table 3). Because the T1DM group was included only as a descriptive metabolic comparison and the number of GT carriers was small, these exploratory findings should be interpreted cautiously.</w:t>
      </w:r>
    </w:p>
    <w:p w14:paraId="6A94C54C" w14:textId="77777777" w:rsidR="00256BA5" w:rsidRDefault="00000000">
      <w:r>
        <w:rPr>
          <w:b/>
        </w:rPr>
        <w:t>Multivariable analysis</w:t>
      </w:r>
    </w:p>
    <w:p w14:paraId="6861E00E" w14:textId="77777777" w:rsidR="00256BA5" w:rsidRDefault="00000000" w:rsidP="009C3D47">
      <w:pPr>
        <w:jc w:val="both"/>
      </w:pPr>
      <w:r>
        <w:t xml:space="preserve">In the adjusted logistic regression model, T2DM was coded as the outcome (non-diabetic=0; T2DM=1), with GG as the genotype reference category and female sex as the reference category. The rs12255372 GT genotype was not independently associated </w:t>
      </w:r>
      <w:r>
        <w:lastRenderedPageBreak/>
        <w:t>with T2DM after adjustment for age, BMI, and sex (adjusted OR 0.646, 95% CI 0.070–5.969; P=0.700). Age was positively associated with T2DM case status (adjusted OR 1.323, 95% CI 1.199–1.459; P&lt;0.001), whereas BMI showed an inverse association in the reported model (adjusted OR 0.752, 95% CI 0.677–0.835; P&lt;0.001). Male sex was positively associated with T2DM case status compared with female sex (adjusted OR 3.077, 95% CI 1.020–9.283; P=0.046) (Table 4).</w:t>
      </w:r>
    </w:p>
    <w:p w14:paraId="316066A7" w14:textId="77777777" w:rsidR="00F87D50" w:rsidRDefault="00F87D50">
      <w:pPr>
        <w:spacing w:before="120"/>
        <w:rPr>
          <w:b/>
        </w:rPr>
      </w:pPr>
    </w:p>
    <w:p w14:paraId="1EF03C1F" w14:textId="77777777" w:rsidR="00F87D50" w:rsidRDefault="00F87D50">
      <w:pPr>
        <w:spacing w:before="120"/>
        <w:rPr>
          <w:b/>
        </w:rPr>
      </w:pPr>
    </w:p>
    <w:p w14:paraId="0DDD6510" w14:textId="5A4EDFE5" w:rsidR="00256BA5" w:rsidRDefault="00000000">
      <w:pPr>
        <w:spacing w:before="120"/>
      </w:pPr>
      <w:r>
        <w:rPr>
          <w:b/>
        </w:rPr>
        <w:t>DISCUSSION</w:t>
      </w:r>
    </w:p>
    <w:p w14:paraId="017AC07A" w14:textId="77777777" w:rsidR="00256BA5" w:rsidRDefault="00000000" w:rsidP="009C3D47">
      <w:pPr>
        <w:jc w:val="both"/>
      </w:pPr>
      <w:r>
        <w:t>This study identified a very low frequency of the TCF7L2 rs12255372 T allele in the examined Indonesian cohort. Only six heterozygous participants were identified, no TT homozygotes were observed, and no statistically significant association with T2DM was detected. C-peptide and HOMA-IR also did not differ significantly by genotype. These findings do not demonstrate absence of a genetic effect; rather, they indicate that no association was detectable in a sample with very few minor-allele carriers.</w:t>
      </w:r>
    </w:p>
    <w:p w14:paraId="5D36BB7F" w14:textId="77777777" w:rsidR="00256BA5" w:rsidRDefault="00000000" w:rsidP="009C3D47">
      <w:pPr>
        <w:jc w:val="both"/>
      </w:pPr>
      <w:r>
        <w:t xml:space="preserve">The allele distribution contrasts with findings in several European, North African, Middle Eastern, and South Asian populations, where the T allele is more frequent and has more often been associated with T2DM [9-15]. This difference supports the ancestry-dependent nature of genetic susceptibility. The present cohort also comprised participants from several Indonesian ethnic backgrounds, including Banjar, Dayak, Javanese, Bugis, Butonese, and Minangkabau, underscoring population diversity within Indonesia. Allele frequency, local linkage disequilibrium, haplotype background, and environmental exposure can alter the measurable effect of an individual marker. </w:t>
      </w:r>
      <w:r>
        <w:lastRenderedPageBreak/>
        <w:t>Accordingly, a risk variant identified in one population should not be assumed to have the same predictive value in an Indonesian population.</w:t>
      </w:r>
    </w:p>
    <w:p w14:paraId="17C3D34D" w14:textId="77777777" w:rsidR="00256BA5" w:rsidRDefault="00000000" w:rsidP="009C3D47">
      <w:pPr>
        <w:jc w:val="both"/>
      </w:pPr>
      <w:r>
        <w:t>TCF7L2 remains biologically relevant to pancreatic beta-cell function, incretin signaling, insulin secretion, and glucose homeostasis [5,8,16-18]. The concurrent assessment of C-peptide and HOMA-IR explored whether rs12255372 was related to endogenous insulin secretion or insulin resistance. Although GT carriers had slightly higher median values, the estimates were based on only six carriers and were not statistically significant. The wide confidence interval for the T2DM association similarly indicates substantial uncertainty.</w:t>
      </w:r>
    </w:p>
    <w:p w14:paraId="4E8DFFF2" w14:textId="77777777" w:rsidR="00256BA5" w:rsidRDefault="00000000" w:rsidP="009C3D47">
      <w:pPr>
        <w:jc w:val="both"/>
      </w:pPr>
      <w:r>
        <w:t>The adjusted model did not identify genotype as an independent correlate of T2DM. Age and sex were positively associated with case status, while the reported BMI association was inverse. The groups were not matched for age or sex, which may contribute residual confounding despite multivariable adjustment. Clinical characteristics therefore had stronger measurable relationships with case status than this low-frequency variant in the studied cohort.</w:t>
      </w:r>
    </w:p>
    <w:p w14:paraId="38A0D1FD" w14:textId="77777777" w:rsidR="00256BA5" w:rsidRDefault="00000000" w:rsidP="009C3D47">
      <w:pPr>
        <w:jc w:val="both"/>
      </w:pPr>
      <w:r>
        <w:t>The study has several strengths. Genotype classification was based on Sanger sequencing, and genetic findings were considered alongside biochemical measures of glucose metabolism. It also contributes data from Indonesia, a population that remains underrepresented in global diabetes genetics. Recent work emphasizes the importance of ancestry-specific risk architecture, multi-ancestry analyses, and functional interpretation of non-coding variants [21-27].</w:t>
      </w:r>
    </w:p>
    <w:p w14:paraId="0CA4A00B" w14:textId="77777777" w:rsidR="00256BA5" w:rsidRDefault="00000000" w:rsidP="009C3D47">
      <w:pPr>
        <w:jc w:val="both"/>
      </w:pPr>
      <w:r>
        <w:t xml:space="preserve">Several limitations require emphasis. The minor allele was rare, no TT homozygotes were identified, and the number of GT carriers was insufficient for precise genotype-stratified estimates. Only one TCF7L2 variant was examined, preventing haplotype or </w:t>
      </w:r>
      <w:r>
        <w:lastRenderedPageBreak/>
        <w:t>multi-variant analysis. The single-center design and modest sample size limit the generalizability of the findings across Indonesia despite the inclusion of participants from several ethnic backgrounds. In addition, the exploratory genotype-phenotype analyses included the T1DM descriptive group, which should be considered when interpreting C-peptide and HOMA-IR comparisons.</w:t>
      </w:r>
    </w:p>
    <w:p w14:paraId="229C8443" w14:textId="77777777" w:rsidR="00256BA5" w:rsidRDefault="00000000" w:rsidP="009C3D47">
      <w:pPr>
        <w:jc w:val="both"/>
      </w:pPr>
      <w:r>
        <w:t>The rs12255372 T allele was uncommon in this Indonesian cohort, and no detectable association with T2DM, C-peptide, or HOMA-IR was identified. The findings support careful local validation of diabetes-associated variants and justify larger multicenter studies with broader ethnic representation, multiple TCF7L2 variants, and ancestry-informed analyses.</w:t>
      </w:r>
    </w:p>
    <w:p w14:paraId="698AD601" w14:textId="77777777" w:rsidR="00256BA5" w:rsidRDefault="00000000">
      <w:pPr>
        <w:spacing w:before="120"/>
      </w:pPr>
      <w:r>
        <w:rPr>
          <w:b/>
        </w:rPr>
        <w:t>CONFLICTS OF INTEREST</w:t>
      </w:r>
    </w:p>
    <w:p w14:paraId="0E40D223" w14:textId="77777777" w:rsidR="00256BA5" w:rsidRDefault="00000000" w:rsidP="009C3D47">
      <w:pPr>
        <w:jc w:val="both"/>
      </w:pPr>
      <w:r>
        <w:t>No potential conflict of interest relevant to this article was reported.</w:t>
      </w:r>
    </w:p>
    <w:p w14:paraId="67CA4029" w14:textId="77777777" w:rsidR="00256BA5" w:rsidRDefault="00000000">
      <w:pPr>
        <w:spacing w:before="120"/>
      </w:pPr>
      <w:r>
        <w:rPr>
          <w:b/>
        </w:rPr>
        <w:t>ACKNOWLEDGMENTS</w:t>
      </w:r>
    </w:p>
    <w:p w14:paraId="550C4E9E" w14:textId="77777777" w:rsidR="00256BA5" w:rsidRDefault="00000000" w:rsidP="009C3D47">
      <w:pPr>
        <w:jc w:val="both"/>
      </w:pPr>
      <w:r>
        <w:t>The authors thank all study participants and laboratory staff who assisted with participant recruitment, laboratory analysis, and molecular examination.</w:t>
      </w:r>
    </w:p>
    <w:p w14:paraId="5430E88D" w14:textId="77777777" w:rsidR="00256BA5" w:rsidRDefault="00000000">
      <w:pPr>
        <w:spacing w:before="120"/>
      </w:pPr>
      <w:r>
        <w:rPr>
          <w:b/>
        </w:rPr>
        <w:t>USE OF AI-ASSISTED TECHNOLOGY</w:t>
      </w:r>
    </w:p>
    <w:p w14:paraId="73564B4D" w14:textId="77777777" w:rsidR="00256BA5" w:rsidRDefault="00000000" w:rsidP="009C3D47">
      <w:pPr>
        <w:jc w:val="both"/>
      </w:pPr>
      <w:r>
        <w:t>During preparation of this manuscript, the authors used ChatGPT (OpenAI) to improve language clarity, readability, organization, and formatting. The authors subsequently reviewed and edited the content and take full responsibility for the scientific integrity and final manuscript.</w:t>
      </w:r>
    </w:p>
    <w:p w14:paraId="6E125C99" w14:textId="77777777" w:rsidR="00F87D50" w:rsidRDefault="00F87D50">
      <w:pPr>
        <w:spacing w:before="120"/>
        <w:rPr>
          <w:b/>
        </w:rPr>
      </w:pPr>
    </w:p>
    <w:p w14:paraId="680D5023" w14:textId="77777777" w:rsidR="00F87D50" w:rsidRDefault="00F87D50">
      <w:pPr>
        <w:spacing w:before="120"/>
        <w:rPr>
          <w:b/>
        </w:rPr>
      </w:pPr>
    </w:p>
    <w:p w14:paraId="5A6ED73A" w14:textId="77777777" w:rsidR="00F87D50" w:rsidRDefault="00F87D50">
      <w:pPr>
        <w:spacing w:before="120"/>
        <w:rPr>
          <w:b/>
        </w:rPr>
      </w:pPr>
    </w:p>
    <w:p w14:paraId="5093C042" w14:textId="61C840E7" w:rsidR="00256BA5" w:rsidRDefault="00000000">
      <w:pPr>
        <w:spacing w:before="120"/>
      </w:pPr>
      <w:r>
        <w:rPr>
          <w:b/>
        </w:rPr>
        <w:lastRenderedPageBreak/>
        <w:t>REFERENCES</w:t>
      </w:r>
    </w:p>
    <w:p w14:paraId="091DC621" w14:textId="77777777" w:rsidR="00F87D50" w:rsidRDefault="00000000" w:rsidP="00F87D50">
      <w:pPr>
        <w:pStyle w:val="ListParagraph"/>
        <w:numPr>
          <w:ilvl w:val="0"/>
          <w:numId w:val="10"/>
        </w:numPr>
        <w:ind w:left="426" w:hanging="426"/>
        <w:jc w:val="both"/>
      </w:pPr>
      <w:r>
        <w:t xml:space="preserve">Dilworth L, Facey A, Omoruyi F. Diabetes mellitus and its metabolic complications: the role of adipose tissues. Int J Mol Sci </w:t>
      </w:r>
      <w:proofErr w:type="gramStart"/>
      <w:r>
        <w:t>2021;22:7644</w:t>
      </w:r>
      <w:proofErr w:type="gramEnd"/>
      <w:r>
        <w:t>.</w:t>
      </w:r>
    </w:p>
    <w:p w14:paraId="0EA4C5A9" w14:textId="77777777" w:rsidR="00F87D50" w:rsidRDefault="00000000" w:rsidP="00F87D50">
      <w:pPr>
        <w:pStyle w:val="ListParagraph"/>
        <w:numPr>
          <w:ilvl w:val="0"/>
          <w:numId w:val="10"/>
        </w:numPr>
        <w:ind w:left="426" w:hanging="426"/>
        <w:jc w:val="both"/>
      </w:pPr>
      <w:r>
        <w:t xml:space="preserve">Galicia-Garcia U, Benito-Vicente A, </w:t>
      </w:r>
      <w:proofErr w:type="spellStart"/>
      <w:r>
        <w:t>Jebari</w:t>
      </w:r>
      <w:proofErr w:type="spellEnd"/>
      <w:r>
        <w:t xml:space="preserve"> S, Larrea-</w:t>
      </w:r>
      <w:proofErr w:type="spellStart"/>
      <w:r>
        <w:t>Sebal</w:t>
      </w:r>
      <w:proofErr w:type="spellEnd"/>
      <w:r>
        <w:t xml:space="preserve"> A, Siddiqi H, Uribe KB, et al. Pathophysiology of type 2 diabetes mellitus. Int J Mol Sci </w:t>
      </w:r>
      <w:proofErr w:type="gramStart"/>
      <w:r>
        <w:t>2020;21:6275</w:t>
      </w:r>
      <w:proofErr w:type="gramEnd"/>
      <w:r>
        <w:t>.</w:t>
      </w:r>
    </w:p>
    <w:p w14:paraId="5D1614B6" w14:textId="77777777" w:rsidR="00F87D50" w:rsidRDefault="00000000" w:rsidP="00F87D50">
      <w:pPr>
        <w:pStyle w:val="ListParagraph"/>
        <w:numPr>
          <w:ilvl w:val="0"/>
          <w:numId w:val="10"/>
        </w:numPr>
        <w:ind w:left="426" w:hanging="426"/>
        <w:jc w:val="both"/>
      </w:pPr>
      <w:proofErr w:type="spellStart"/>
      <w:r>
        <w:t>Genitsaridi</w:t>
      </w:r>
      <w:proofErr w:type="spellEnd"/>
      <w:r>
        <w:t xml:space="preserve"> I, </w:t>
      </w:r>
      <w:proofErr w:type="spellStart"/>
      <w:r>
        <w:t>Salpea</w:t>
      </w:r>
      <w:proofErr w:type="spellEnd"/>
      <w:r>
        <w:t xml:space="preserve"> P, Salim A, Sajjadi SF, Tomic D, James S, et al. 11th edition of the IDF Diabetes Atlas: global, regional, and national diabetes prevalence estimates for 2024 and projections for 2050. Lancet Diabetes Endocrinol </w:t>
      </w:r>
      <w:proofErr w:type="gramStart"/>
      <w:r>
        <w:t>2026;14:149</w:t>
      </w:r>
      <w:proofErr w:type="gramEnd"/>
      <w:r>
        <w:t>-56.</w:t>
      </w:r>
    </w:p>
    <w:p w14:paraId="5CEABCB5" w14:textId="77777777" w:rsidR="00F87D50" w:rsidRDefault="00000000" w:rsidP="00F87D50">
      <w:pPr>
        <w:pStyle w:val="ListParagraph"/>
        <w:numPr>
          <w:ilvl w:val="0"/>
          <w:numId w:val="10"/>
        </w:numPr>
        <w:ind w:left="426" w:hanging="426"/>
        <w:jc w:val="both"/>
      </w:pPr>
      <w:r>
        <w:t xml:space="preserve">Singh S, Kriti M, Sarma DK, Verma V, Nagpal R, Mohania D, et al. Deciphering the complex interplay of risk factors in type 2 diabetes mellitus: a comprehensive review. </w:t>
      </w:r>
      <w:proofErr w:type="spellStart"/>
      <w:r>
        <w:t>Metab</w:t>
      </w:r>
      <w:proofErr w:type="spellEnd"/>
      <w:r>
        <w:t xml:space="preserve"> Open </w:t>
      </w:r>
      <w:proofErr w:type="gramStart"/>
      <w:r>
        <w:t>2024;22:100287</w:t>
      </w:r>
      <w:proofErr w:type="gramEnd"/>
      <w:r>
        <w:t>.</w:t>
      </w:r>
    </w:p>
    <w:p w14:paraId="05818611" w14:textId="77777777" w:rsidR="00F87D50" w:rsidRDefault="00000000" w:rsidP="00F87D50">
      <w:pPr>
        <w:pStyle w:val="ListParagraph"/>
        <w:numPr>
          <w:ilvl w:val="0"/>
          <w:numId w:val="10"/>
        </w:numPr>
        <w:ind w:left="426" w:hanging="426"/>
        <w:jc w:val="both"/>
      </w:pPr>
      <w:r>
        <w:t xml:space="preserve">Del Bosque-Plata L, Martinez-Martinez E, Espinoza-Camacho MA, Gragnoli C. The role of TCF7L2 in type 2 diabetes. Diabetes </w:t>
      </w:r>
      <w:proofErr w:type="gramStart"/>
      <w:r>
        <w:t>2021;70:1220</w:t>
      </w:r>
      <w:proofErr w:type="gramEnd"/>
      <w:r>
        <w:t>-8.</w:t>
      </w:r>
    </w:p>
    <w:p w14:paraId="4E76EBDE" w14:textId="77777777" w:rsidR="00F87D50" w:rsidRDefault="00000000" w:rsidP="00F87D50">
      <w:pPr>
        <w:pStyle w:val="ListParagraph"/>
        <w:numPr>
          <w:ilvl w:val="0"/>
          <w:numId w:val="10"/>
        </w:numPr>
        <w:ind w:left="426" w:hanging="426"/>
        <w:jc w:val="both"/>
      </w:pPr>
      <w:r>
        <w:t xml:space="preserve">Huang ZQ, Liao YQ, Huang RZ, Chen JP, Sun HL. Possible role of TCF7L2 in the pathogenesis of type 2 diabetes mellitus. </w:t>
      </w:r>
      <w:proofErr w:type="spellStart"/>
      <w:r>
        <w:t>Biotechnol</w:t>
      </w:r>
      <w:proofErr w:type="spellEnd"/>
      <w:r>
        <w:t xml:space="preserve"> </w:t>
      </w:r>
      <w:proofErr w:type="spellStart"/>
      <w:r>
        <w:t>Biotechnol</w:t>
      </w:r>
      <w:proofErr w:type="spellEnd"/>
      <w:r>
        <w:t xml:space="preserve"> Equip </w:t>
      </w:r>
      <w:proofErr w:type="gramStart"/>
      <w:r>
        <w:t>2018;32:830</w:t>
      </w:r>
      <w:proofErr w:type="gramEnd"/>
      <w:r>
        <w:t>-4.</w:t>
      </w:r>
    </w:p>
    <w:p w14:paraId="715AF767" w14:textId="77777777" w:rsidR="00F87D50" w:rsidRDefault="00000000" w:rsidP="00F87D50">
      <w:pPr>
        <w:pStyle w:val="ListParagraph"/>
        <w:numPr>
          <w:ilvl w:val="0"/>
          <w:numId w:val="10"/>
        </w:numPr>
        <w:ind w:left="426" w:hanging="426"/>
        <w:jc w:val="both"/>
      </w:pPr>
      <w:proofErr w:type="spellStart"/>
      <w:r>
        <w:t>Witka</w:t>
      </w:r>
      <w:proofErr w:type="spellEnd"/>
      <w:r>
        <w:t xml:space="preserve"> BZ, </w:t>
      </w:r>
      <w:proofErr w:type="spellStart"/>
      <w:r>
        <w:t>Oktaviani</w:t>
      </w:r>
      <w:proofErr w:type="spellEnd"/>
      <w:r>
        <w:t xml:space="preserve"> DJ, Marcellino M, Barliana MI, Abdulah R. Type 2 diabetes-associated genetic polymorphisms as potential disease predictors. Diabetes </w:t>
      </w:r>
      <w:proofErr w:type="spellStart"/>
      <w:r>
        <w:t>Metab</w:t>
      </w:r>
      <w:proofErr w:type="spellEnd"/>
      <w:r>
        <w:t xml:space="preserve"> Syndr </w:t>
      </w:r>
      <w:proofErr w:type="spellStart"/>
      <w:r>
        <w:t>Obes</w:t>
      </w:r>
      <w:proofErr w:type="spellEnd"/>
      <w:r>
        <w:t xml:space="preserve"> </w:t>
      </w:r>
      <w:proofErr w:type="gramStart"/>
      <w:r>
        <w:t>2019;12:2689</w:t>
      </w:r>
      <w:proofErr w:type="gramEnd"/>
      <w:r>
        <w:t>-706.</w:t>
      </w:r>
    </w:p>
    <w:p w14:paraId="3ED8120E" w14:textId="77777777" w:rsidR="00F87D50" w:rsidRDefault="00000000" w:rsidP="00F87D50">
      <w:pPr>
        <w:pStyle w:val="ListParagraph"/>
        <w:numPr>
          <w:ilvl w:val="0"/>
          <w:numId w:val="10"/>
        </w:numPr>
        <w:ind w:left="426" w:hanging="426"/>
        <w:jc w:val="both"/>
      </w:pPr>
      <w:r>
        <w:t xml:space="preserve">Zeini M, Laurenti MC, Egan AM, Muthusamy K, Ramar A, Vella E, et al. The longitudinal effect of diabetes-associated variation in TCF7L2 on islet function in humans. Diabetes </w:t>
      </w:r>
      <w:proofErr w:type="gramStart"/>
      <w:r>
        <w:t>2024;73:1440</w:t>
      </w:r>
      <w:proofErr w:type="gramEnd"/>
      <w:r>
        <w:t>-6.</w:t>
      </w:r>
    </w:p>
    <w:p w14:paraId="5C05AA4C" w14:textId="77777777" w:rsidR="00F87D50" w:rsidRDefault="00000000" w:rsidP="00F87D50">
      <w:pPr>
        <w:pStyle w:val="ListParagraph"/>
        <w:numPr>
          <w:ilvl w:val="0"/>
          <w:numId w:val="10"/>
        </w:numPr>
        <w:ind w:left="426" w:hanging="426"/>
        <w:jc w:val="both"/>
      </w:pPr>
      <w:proofErr w:type="spellStart"/>
      <w:r>
        <w:lastRenderedPageBreak/>
        <w:t>Elhourch</w:t>
      </w:r>
      <w:proofErr w:type="spellEnd"/>
      <w:r>
        <w:t xml:space="preserve"> S, </w:t>
      </w:r>
      <w:proofErr w:type="spellStart"/>
      <w:r>
        <w:t>Arrouchi</w:t>
      </w:r>
      <w:proofErr w:type="spellEnd"/>
      <w:r>
        <w:t xml:space="preserve"> H, Mekkaoui N, Allou Y, Ghrifi F, Allam L, et al. Significant association of polymorphisms in the TCF7L2 gene with a higher risk of type 2 diabetes in a Moroccan population. J Pers Med </w:t>
      </w:r>
      <w:proofErr w:type="gramStart"/>
      <w:r>
        <w:t>2021;11:461</w:t>
      </w:r>
      <w:proofErr w:type="gramEnd"/>
      <w:r>
        <w:t>.</w:t>
      </w:r>
    </w:p>
    <w:p w14:paraId="29ED0564" w14:textId="77777777" w:rsidR="00F87D50" w:rsidRDefault="00000000" w:rsidP="00F87D50">
      <w:pPr>
        <w:pStyle w:val="ListParagraph"/>
        <w:numPr>
          <w:ilvl w:val="0"/>
          <w:numId w:val="10"/>
        </w:numPr>
        <w:ind w:left="426" w:hanging="426"/>
        <w:jc w:val="both"/>
      </w:pPr>
      <w:r>
        <w:t xml:space="preserve">Kaur N, Kaur G, Kaur S. TCF7L2 gene rs12255372 (G/T) variant and susceptibility to type 2 diabetes mellitus in North Indians. Gene Rep </w:t>
      </w:r>
      <w:proofErr w:type="gramStart"/>
      <w:r>
        <w:t>2020;19:100595</w:t>
      </w:r>
      <w:proofErr w:type="gramEnd"/>
      <w:r>
        <w:t>.</w:t>
      </w:r>
    </w:p>
    <w:p w14:paraId="298E76BE" w14:textId="77777777" w:rsidR="00F87D50" w:rsidRDefault="00000000" w:rsidP="00F87D50">
      <w:pPr>
        <w:pStyle w:val="ListParagraph"/>
        <w:numPr>
          <w:ilvl w:val="0"/>
          <w:numId w:val="10"/>
        </w:numPr>
        <w:ind w:left="426" w:hanging="426"/>
        <w:jc w:val="both"/>
      </w:pPr>
      <w:r>
        <w:t xml:space="preserve">Mahmood SA, Uddin MF, Mustari M, Mahjabeen S, Azad MK, Rahim CFM. TCF7L2 rs12255372 gene polymorphism and obesity in a Bangladeshi population. Indian J Endocrinol </w:t>
      </w:r>
      <w:proofErr w:type="spellStart"/>
      <w:r>
        <w:t>Metab</w:t>
      </w:r>
      <w:proofErr w:type="spellEnd"/>
      <w:r>
        <w:t xml:space="preserve"> </w:t>
      </w:r>
      <w:proofErr w:type="gramStart"/>
      <w:r>
        <w:t>2025;29:313</w:t>
      </w:r>
      <w:proofErr w:type="gramEnd"/>
      <w:r>
        <w:t>-8.</w:t>
      </w:r>
    </w:p>
    <w:p w14:paraId="5024EF68" w14:textId="77777777" w:rsidR="00F87D50" w:rsidRDefault="00000000" w:rsidP="00F87D50">
      <w:pPr>
        <w:pStyle w:val="ListParagraph"/>
        <w:numPr>
          <w:ilvl w:val="0"/>
          <w:numId w:val="10"/>
        </w:numPr>
        <w:ind w:left="426" w:hanging="426"/>
        <w:jc w:val="both"/>
      </w:pPr>
      <w:proofErr w:type="spellStart"/>
      <w:r>
        <w:t>Ghosheh</w:t>
      </w:r>
      <w:proofErr w:type="spellEnd"/>
      <w:r>
        <w:t xml:space="preserve"> N, </w:t>
      </w:r>
      <w:proofErr w:type="spellStart"/>
      <w:r>
        <w:t>Naffa</w:t>
      </w:r>
      <w:proofErr w:type="spellEnd"/>
      <w:r>
        <w:t xml:space="preserve"> RG, Mashal S, Al-Khalayfa S, Battah AH, Azab B. The association of TCF7L2 gene polymorphisms, rs12255372 and rs7903146, with type 2 diabetes mellitus in the Jordanian population. Mol Biol Rep </w:t>
      </w:r>
      <w:proofErr w:type="gramStart"/>
      <w:r>
        <w:t>2025;52:461</w:t>
      </w:r>
      <w:proofErr w:type="gramEnd"/>
      <w:r>
        <w:t>.</w:t>
      </w:r>
    </w:p>
    <w:p w14:paraId="5529373B" w14:textId="77777777" w:rsidR="00F87D50" w:rsidRDefault="00000000" w:rsidP="00F87D50">
      <w:pPr>
        <w:pStyle w:val="ListParagraph"/>
        <w:numPr>
          <w:ilvl w:val="0"/>
          <w:numId w:val="10"/>
        </w:numPr>
        <w:ind w:left="426" w:hanging="426"/>
        <w:jc w:val="both"/>
      </w:pPr>
      <w:r>
        <w:t xml:space="preserve">Lu YC, Yu TH, Hsuan CF, Hsu CC, Hung WC, Wang CP, et al. Association of TCF7L2 rs7903146 (C/T) polymorphism with type 2 diabetes mellitus in a Chinese population: clinical characteristics and ethnic context. Diagnostics (Basel) </w:t>
      </w:r>
      <w:proofErr w:type="gramStart"/>
      <w:r>
        <w:t>2025;15:2110</w:t>
      </w:r>
      <w:proofErr w:type="gramEnd"/>
      <w:r>
        <w:t>.</w:t>
      </w:r>
    </w:p>
    <w:p w14:paraId="653D8AF0" w14:textId="77777777" w:rsidR="00F87D50" w:rsidRDefault="00000000" w:rsidP="00F87D50">
      <w:pPr>
        <w:pStyle w:val="ListParagraph"/>
        <w:numPr>
          <w:ilvl w:val="0"/>
          <w:numId w:val="10"/>
        </w:numPr>
        <w:ind w:left="426" w:hanging="426"/>
        <w:jc w:val="both"/>
      </w:pPr>
      <w:r>
        <w:t xml:space="preserve">Sen P, Alam SS, Jahan I, Saha P, Shill LC. Association of the TCF7L2 rs7903146 variant with type 2 diabetes mellitus and related biomarkers: a systematic review. BMJ </w:t>
      </w:r>
      <w:proofErr w:type="spellStart"/>
      <w:r>
        <w:t>Nutr</w:t>
      </w:r>
      <w:proofErr w:type="spellEnd"/>
      <w:r>
        <w:t xml:space="preserve"> Prev Health 2025;</w:t>
      </w:r>
      <w:proofErr w:type="gramStart"/>
      <w:r>
        <w:t>8:e</w:t>
      </w:r>
      <w:proofErr w:type="gramEnd"/>
      <w:r>
        <w:t>001205.</w:t>
      </w:r>
    </w:p>
    <w:p w14:paraId="5C977883" w14:textId="77777777" w:rsidR="00F87D50" w:rsidRDefault="00000000" w:rsidP="00F87D50">
      <w:pPr>
        <w:pStyle w:val="ListParagraph"/>
        <w:numPr>
          <w:ilvl w:val="0"/>
          <w:numId w:val="10"/>
        </w:numPr>
        <w:ind w:left="426" w:hanging="426"/>
        <w:jc w:val="both"/>
      </w:pPr>
      <w:r>
        <w:t xml:space="preserve">Blanken CPS, Bayer S, Buchner Carro S, Hauner H, Holzapfel C. Associations between TCF7L2, PPARG, and KCNJ11 genotypes and insulin response to an oral glucose tolerance test: a systematic review. Mol </w:t>
      </w:r>
      <w:proofErr w:type="spellStart"/>
      <w:r>
        <w:t>Nutr</w:t>
      </w:r>
      <w:proofErr w:type="spellEnd"/>
      <w:r>
        <w:t xml:space="preserve"> Food Res 2025;</w:t>
      </w:r>
      <w:proofErr w:type="gramStart"/>
      <w:r>
        <w:t>69:e</w:t>
      </w:r>
      <w:proofErr w:type="gramEnd"/>
      <w:r>
        <w:t>202400561.</w:t>
      </w:r>
    </w:p>
    <w:p w14:paraId="765BC2DB" w14:textId="77777777" w:rsidR="00F87D50" w:rsidRDefault="00000000" w:rsidP="00F87D50">
      <w:pPr>
        <w:pStyle w:val="ListParagraph"/>
        <w:numPr>
          <w:ilvl w:val="0"/>
          <w:numId w:val="10"/>
        </w:numPr>
        <w:ind w:left="426" w:hanging="426"/>
        <w:jc w:val="both"/>
      </w:pPr>
      <w:r>
        <w:t xml:space="preserve">Evans-Molina C. Advances in basic biology and translation in islet research. Nat Rev Endocrinol </w:t>
      </w:r>
      <w:proofErr w:type="gramStart"/>
      <w:r>
        <w:t>2025;21:69</w:t>
      </w:r>
      <w:proofErr w:type="gramEnd"/>
      <w:r>
        <w:t>-70.</w:t>
      </w:r>
    </w:p>
    <w:p w14:paraId="7A37B095" w14:textId="77777777" w:rsidR="00F87D50" w:rsidRDefault="00000000" w:rsidP="00F87D50">
      <w:pPr>
        <w:pStyle w:val="ListParagraph"/>
        <w:numPr>
          <w:ilvl w:val="0"/>
          <w:numId w:val="10"/>
        </w:numPr>
        <w:ind w:left="426" w:hanging="426"/>
        <w:jc w:val="both"/>
      </w:pPr>
      <w:proofErr w:type="spellStart"/>
      <w:r>
        <w:lastRenderedPageBreak/>
        <w:t>Adeerjiang</w:t>
      </w:r>
      <w:proofErr w:type="spellEnd"/>
      <w:r>
        <w:t xml:space="preserve"> Y, </w:t>
      </w:r>
      <w:proofErr w:type="spellStart"/>
      <w:r>
        <w:t>Sidike</w:t>
      </w:r>
      <w:proofErr w:type="spellEnd"/>
      <w:r>
        <w:t xml:space="preserve"> A, Gan XX, Li QT, Jiang S. The role of the Wnt3a/beta-catenin/TCF7L2 pathway in diabetes and cardiorenal complications. Cardiorenal Med </w:t>
      </w:r>
      <w:proofErr w:type="gramStart"/>
      <w:r>
        <w:t>2025;15:72</w:t>
      </w:r>
      <w:proofErr w:type="gramEnd"/>
      <w:r>
        <w:t>-82.</w:t>
      </w:r>
    </w:p>
    <w:p w14:paraId="7B528BA9" w14:textId="77777777" w:rsidR="00F87D50" w:rsidRDefault="00000000" w:rsidP="00F87D50">
      <w:pPr>
        <w:pStyle w:val="ListParagraph"/>
        <w:numPr>
          <w:ilvl w:val="0"/>
          <w:numId w:val="10"/>
        </w:numPr>
        <w:ind w:left="426" w:hanging="426"/>
        <w:jc w:val="both"/>
      </w:pPr>
      <w:r>
        <w:t xml:space="preserve">Ansari S, Khoo B, Tan T. Targeting the incretin system in obesity and type 2 diabetes mellitus. Nat Rev Endocrinol </w:t>
      </w:r>
      <w:proofErr w:type="gramStart"/>
      <w:r>
        <w:t>2024;20:447</w:t>
      </w:r>
      <w:proofErr w:type="gramEnd"/>
      <w:r>
        <w:t>-59.</w:t>
      </w:r>
    </w:p>
    <w:p w14:paraId="74C9C003" w14:textId="77777777" w:rsidR="00F87D50" w:rsidRDefault="00000000" w:rsidP="00F87D50">
      <w:pPr>
        <w:pStyle w:val="ListParagraph"/>
        <w:numPr>
          <w:ilvl w:val="0"/>
          <w:numId w:val="10"/>
        </w:numPr>
        <w:ind w:left="426" w:hanging="426"/>
        <w:jc w:val="both"/>
      </w:pPr>
      <w:r>
        <w:t>American Diabetes Association Professional Practice Committee. 2. Diagnosis and classification of diabetes: Standards of Care in Diabetes-2025. Diabetes Care 2025;</w:t>
      </w:r>
      <w:proofErr w:type="gramStart"/>
      <w:r>
        <w:t>48:S</w:t>
      </w:r>
      <w:proofErr w:type="gramEnd"/>
      <w:r>
        <w:t>27-S49.</w:t>
      </w:r>
    </w:p>
    <w:p w14:paraId="70AE3C02" w14:textId="77777777" w:rsidR="00F87D50" w:rsidRDefault="00000000" w:rsidP="00F87D50">
      <w:pPr>
        <w:pStyle w:val="ListParagraph"/>
        <w:numPr>
          <w:ilvl w:val="0"/>
          <w:numId w:val="10"/>
        </w:numPr>
        <w:ind w:left="426" w:hanging="426"/>
        <w:jc w:val="both"/>
      </w:pPr>
      <w:r>
        <w:t xml:space="preserve">Little J, Higgins JPT, Ioannidis JPA, Moher D, Gagnon F, von Elm E, et al. Strengthening the Reporting of Genetic Association Studies (STREGA): an extension of the STROBE statement. </w:t>
      </w:r>
      <w:proofErr w:type="spellStart"/>
      <w:r>
        <w:t>PLoS</w:t>
      </w:r>
      <w:proofErr w:type="spellEnd"/>
      <w:r>
        <w:t xml:space="preserve"> Med 2009;</w:t>
      </w:r>
      <w:proofErr w:type="gramStart"/>
      <w:r>
        <w:t>6:e</w:t>
      </w:r>
      <w:proofErr w:type="gramEnd"/>
      <w:r>
        <w:t>1000022.</w:t>
      </w:r>
    </w:p>
    <w:p w14:paraId="1A4D130B" w14:textId="77777777" w:rsidR="00F87D50" w:rsidRDefault="00000000" w:rsidP="00F87D50">
      <w:pPr>
        <w:pStyle w:val="ListParagraph"/>
        <w:numPr>
          <w:ilvl w:val="0"/>
          <w:numId w:val="10"/>
        </w:numPr>
        <w:ind w:left="426" w:hanging="426"/>
        <w:jc w:val="both"/>
      </w:pPr>
      <w:r>
        <w:t xml:space="preserve">Ortega HI, </w:t>
      </w:r>
      <w:proofErr w:type="spellStart"/>
      <w:r>
        <w:t>Udler</w:t>
      </w:r>
      <w:proofErr w:type="spellEnd"/>
      <w:r>
        <w:t xml:space="preserve"> MS, Gloyn AL, Sharp SA. Diabetes mellitus polygenic risk scores: heterogeneity and clinical translation. Nat Rev Endocrinol </w:t>
      </w:r>
      <w:proofErr w:type="gramStart"/>
      <w:r>
        <w:t>2025;21:530</w:t>
      </w:r>
      <w:proofErr w:type="gramEnd"/>
      <w:r>
        <w:t>-45.</w:t>
      </w:r>
    </w:p>
    <w:p w14:paraId="34F467E3" w14:textId="77777777" w:rsidR="00F87D50" w:rsidRDefault="00000000" w:rsidP="00F87D50">
      <w:pPr>
        <w:pStyle w:val="ListParagraph"/>
        <w:numPr>
          <w:ilvl w:val="0"/>
          <w:numId w:val="10"/>
        </w:numPr>
        <w:ind w:left="426" w:hanging="426"/>
        <w:jc w:val="both"/>
      </w:pPr>
      <w:proofErr w:type="spellStart"/>
      <w:r>
        <w:t>Plengvidhya</w:t>
      </w:r>
      <w:proofErr w:type="spellEnd"/>
      <w:r>
        <w:t xml:space="preserve"> N, </w:t>
      </w:r>
      <w:proofErr w:type="spellStart"/>
      <w:r>
        <w:t>Teerawattanapong</w:t>
      </w:r>
      <w:proofErr w:type="spellEnd"/>
      <w:r>
        <w:t xml:space="preserve"> N, </w:t>
      </w:r>
      <w:proofErr w:type="spellStart"/>
      <w:r>
        <w:t>Narkdontr</w:t>
      </w:r>
      <w:proofErr w:type="spellEnd"/>
      <w:r>
        <w:t xml:space="preserve"> T, Innang S, Songlilitchuwong S, Suthon S, et al. Cluster-specific genetic associations of CDKAL1, CDKN2A, CDKN2B, HHEX, KCNQ1, MTNR1B, PAX4, SLC30A8, TCF7L2, and UBE2E2 variants in new-onset type 2 diabetes. Sci Rep </w:t>
      </w:r>
      <w:proofErr w:type="gramStart"/>
      <w:r>
        <w:t>2026;16:2983</w:t>
      </w:r>
      <w:proofErr w:type="gramEnd"/>
      <w:r>
        <w:t>.</w:t>
      </w:r>
    </w:p>
    <w:p w14:paraId="41B4BA77" w14:textId="77777777" w:rsidR="00F87D50" w:rsidRDefault="00000000" w:rsidP="00F87D50">
      <w:pPr>
        <w:pStyle w:val="ListParagraph"/>
        <w:numPr>
          <w:ilvl w:val="0"/>
          <w:numId w:val="10"/>
        </w:numPr>
        <w:ind w:left="426" w:hanging="426"/>
        <w:jc w:val="both"/>
      </w:pPr>
      <w:r>
        <w:t xml:space="preserve">Maynard AG, Bhardwaj R, Jones TR, Claussnitzer M. Bridging the variant-to-function gap in type 2 diabetes: advances and challenges. </w:t>
      </w:r>
      <w:proofErr w:type="spellStart"/>
      <w:r>
        <w:t>Diabetologia</w:t>
      </w:r>
      <w:proofErr w:type="spellEnd"/>
      <w:r>
        <w:t xml:space="preserve"> </w:t>
      </w:r>
      <w:proofErr w:type="gramStart"/>
      <w:r>
        <w:t>2026;69:274</w:t>
      </w:r>
      <w:proofErr w:type="gramEnd"/>
      <w:r>
        <w:t>-94.</w:t>
      </w:r>
    </w:p>
    <w:p w14:paraId="43F24086" w14:textId="77777777" w:rsidR="00F87D50" w:rsidRDefault="00000000" w:rsidP="00F87D50">
      <w:pPr>
        <w:pStyle w:val="ListParagraph"/>
        <w:numPr>
          <w:ilvl w:val="0"/>
          <w:numId w:val="10"/>
        </w:numPr>
        <w:ind w:left="426" w:hanging="426"/>
        <w:jc w:val="both"/>
      </w:pPr>
      <w:r>
        <w:t xml:space="preserve">Hansen AL, Andersen MK, Engelhard LM, Brons C, Hansen T, Nielsen JS, et al. Impact of TCF7L2 rs7903146 on clinical presentation and risk of complications in patients with type 2 diabetes. Diabetes </w:t>
      </w:r>
      <w:proofErr w:type="spellStart"/>
      <w:r>
        <w:t>Obes</w:t>
      </w:r>
      <w:proofErr w:type="spellEnd"/>
      <w:r>
        <w:t xml:space="preserve"> </w:t>
      </w:r>
      <w:proofErr w:type="spellStart"/>
      <w:r>
        <w:t>Metab</w:t>
      </w:r>
      <w:proofErr w:type="spellEnd"/>
      <w:r>
        <w:t xml:space="preserve"> </w:t>
      </w:r>
      <w:proofErr w:type="gramStart"/>
      <w:r>
        <w:t>2025;27:2002</w:t>
      </w:r>
      <w:proofErr w:type="gramEnd"/>
      <w:r>
        <w:t>-11.</w:t>
      </w:r>
    </w:p>
    <w:p w14:paraId="497B34EB" w14:textId="77777777" w:rsidR="00F87D50" w:rsidRDefault="00000000" w:rsidP="00F87D50">
      <w:pPr>
        <w:pStyle w:val="ListParagraph"/>
        <w:numPr>
          <w:ilvl w:val="0"/>
          <w:numId w:val="10"/>
        </w:numPr>
        <w:ind w:left="426" w:hanging="426"/>
        <w:jc w:val="both"/>
      </w:pPr>
      <w:r>
        <w:lastRenderedPageBreak/>
        <w:t xml:space="preserve">Yau B, Ghislain J, Kebede MA, Hughes J, Poitout V. The role of the beta cell in type 2 diabetes: new findings from the last 5 years. </w:t>
      </w:r>
      <w:proofErr w:type="spellStart"/>
      <w:r>
        <w:t>Diabetologia</w:t>
      </w:r>
      <w:proofErr w:type="spellEnd"/>
      <w:r>
        <w:t xml:space="preserve"> </w:t>
      </w:r>
      <w:proofErr w:type="gramStart"/>
      <w:r>
        <w:t>2025;68:2092</w:t>
      </w:r>
      <w:proofErr w:type="gramEnd"/>
      <w:r>
        <w:t>-103.</w:t>
      </w:r>
    </w:p>
    <w:p w14:paraId="42D0CBB8" w14:textId="77777777" w:rsidR="00F87D50" w:rsidRDefault="00000000" w:rsidP="00F87D50">
      <w:pPr>
        <w:pStyle w:val="ListParagraph"/>
        <w:numPr>
          <w:ilvl w:val="0"/>
          <w:numId w:val="10"/>
        </w:numPr>
        <w:ind w:left="426" w:hanging="426"/>
        <w:jc w:val="both"/>
      </w:pPr>
      <w:r>
        <w:t xml:space="preserve">Mahajan A, </w:t>
      </w:r>
      <w:proofErr w:type="spellStart"/>
      <w:r>
        <w:t>Taliun</w:t>
      </w:r>
      <w:proofErr w:type="spellEnd"/>
      <w:r>
        <w:t xml:space="preserve"> D, Thurner M, Robertson NR, Torres JM, Rayner NW, et al. Fine-mapping type 2 diabetes loci to single-variant resolution using high-density imputation and islet-specific epigenome maps. Nat Genet </w:t>
      </w:r>
      <w:proofErr w:type="gramStart"/>
      <w:r>
        <w:t>2018;50:1505</w:t>
      </w:r>
      <w:proofErr w:type="gramEnd"/>
      <w:r>
        <w:t>-13.</w:t>
      </w:r>
    </w:p>
    <w:p w14:paraId="337046D0" w14:textId="7114B781" w:rsidR="00256BA5" w:rsidRDefault="00000000" w:rsidP="00F87D50">
      <w:pPr>
        <w:pStyle w:val="ListParagraph"/>
        <w:numPr>
          <w:ilvl w:val="0"/>
          <w:numId w:val="10"/>
        </w:numPr>
        <w:ind w:left="426" w:hanging="426"/>
        <w:jc w:val="both"/>
      </w:pPr>
      <w:r>
        <w:t xml:space="preserve">Suzuki K, </w:t>
      </w:r>
      <w:proofErr w:type="spellStart"/>
      <w:r>
        <w:t>Hatzikotoulas</w:t>
      </w:r>
      <w:proofErr w:type="spellEnd"/>
      <w:r>
        <w:t xml:space="preserve"> K, Southam L, Taylor HJ, Yin X, Lorenz KM, et al. Genetic drivers of heterogeneity in type 2 diabetes pathophysiology. Nature </w:t>
      </w:r>
      <w:proofErr w:type="gramStart"/>
      <w:r>
        <w:t>2024;627:347</w:t>
      </w:r>
      <w:proofErr w:type="gramEnd"/>
      <w:r>
        <w:t>-57.</w:t>
      </w:r>
    </w:p>
    <w:p w14:paraId="0B225970" w14:textId="77777777" w:rsidR="00F87D50" w:rsidRDefault="00F87D50">
      <w:pPr>
        <w:rPr>
          <w:b/>
        </w:rPr>
      </w:pPr>
    </w:p>
    <w:p w14:paraId="56008860" w14:textId="77777777" w:rsidR="00F87D50" w:rsidRDefault="00F87D50">
      <w:pPr>
        <w:rPr>
          <w:b/>
        </w:rPr>
      </w:pPr>
    </w:p>
    <w:p w14:paraId="7BAEBA78" w14:textId="77777777" w:rsidR="00A1655F" w:rsidRDefault="00A1655F">
      <w:pPr>
        <w:rPr>
          <w:b/>
        </w:rPr>
      </w:pPr>
    </w:p>
    <w:p w14:paraId="6F44E775" w14:textId="77777777" w:rsidR="00A1655F" w:rsidRDefault="00A1655F">
      <w:pPr>
        <w:rPr>
          <w:b/>
        </w:rPr>
      </w:pPr>
    </w:p>
    <w:p w14:paraId="11F6F9CC" w14:textId="77777777" w:rsidR="00A1655F" w:rsidRDefault="00A1655F">
      <w:pPr>
        <w:rPr>
          <w:b/>
        </w:rPr>
      </w:pPr>
    </w:p>
    <w:p w14:paraId="1F3F2E00" w14:textId="77777777" w:rsidR="00A1655F" w:rsidRDefault="00A1655F">
      <w:pPr>
        <w:rPr>
          <w:b/>
        </w:rPr>
      </w:pPr>
    </w:p>
    <w:p w14:paraId="541839E0" w14:textId="77777777" w:rsidR="00A1655F" w:rsidRDefault="00A1655F">
      <w:pPr>
        <w:rPr>
          <w:b/>
        </w:rPr>
      </w:pPr>
    </w:p>
    <w:p w14:paraId="4FD6852D" w14:textId="77777777" w:rsidR="00A1655F" w:rsidRDefault="00A1655F">
      <w:pPr>
        <w:rPr>
          <w:b/>
        </w:rPr>
      </w:pPr>
    </w:p>
    <w:p w14:paraId="2608351A" w14:textId="77777777" w:rsidR="00A1655F" w:rsidRDefault="00A1655F">
      <w:pPr>
        <w:rPr>
          <w:b/>
        </w:rPr>
      </w:pPr>
    </w:p>
    <w:p w14:paraId="5E7F3737" w14:textId="77777777" w:rsidR="00A1655F" w:rsidRDefault="00A1655F">
      <w:pPr>
        <w:rPr>
          <w:b/>
        </w:rPr>
      </w:pPr>
    </w:p>
    <w:p w14:paraId="39EAD1E4" w14:textId="77777777" w:rsidR="00A1655F" w:rsidRDefault="00A1655F">
      <w:pPr>
        <w:rPr>
          <w:b/>
        </w:rPr>
      </w:pPr>
    </w:p>
    <w:p w14:paraId="3C0AACF2" w14:textId="77777777" w:rsidR="00A1655F" w:rsidRDefault="00A1655F">
      <w:pPr>
        <w:rPr>
          <w:b/>
        </w:rPr>
      </w:pPr>
    </w:p>
    <w:p w14:paraId="209DD363" w14:textId="77777777" w:rsidR="00A1655F" w:rsidRDefault="00A1655F">
      <w:pPr>
        <w:rPr>
          <w:b/>
        </w:rPr>
      </w:pPr>
    </w:p>
    <w:p w14:paraId="1C7EAA2D" w14:textId="77777777" w:rsidR="00A1655F" w:rsidRDefault="00A1655F">
      <w:pPr>
        <w:rPr>
          <w:b/>
        </w:rPr>
      </w:pPr>
    </w:p>
    <w:p w14:paraId="118FA26F" w14:textId="77777777" w:rsidR="00A1655F" w:rsidRDefault="00A1655F">
      <w:pPr>
        <w:rPr>
          <w:b/>
        </w:rPr>
      </w:pPr>
    </w:p>
    <w:p w14:paraId="7559671C" w14:textId="42535278" w:rsidR="00256BA5" w:rsidRDefault="00000000">
      <w:r>
        <w:rPr>
          <w:b/>
        </w:rPr>
        <w:lastRenderedPageBreak/>
        <w:t>TABLES</w:t>
      </w:r>
    </w:p>
    <w:p w14:paraId="01D59D4E" w14:textId="77777777" w:rsidR="00256BA5" w:rsidRDefault="00000000">
      <w:r>
        <w:rPr>
          <w:b/>
        </w:rPr>
        <w:t>Table 1. Clinical and Biochemical Characteristics of Study Participants</w:t>
      </w:r>
    </w:p>
    <w:tbl>
      <w:tblPr>
        <w:tblW w:w="0" w:type="auto"/>
        <w:jc w:val="center"/>
        <w:tblBorders>
          <w:top w:val="single" w:sz="4" w:space="0" w:color="000000"/>
          <w:left w:val="nil"/>
          <w:bottom w:val="single" w:sz="4" w:space="0" w:color="000000"/>
          <w:right w:val="nil"/>
          <w:insideH w:val="single" w:sz="4" w:space="0" w:color="000000"/>
          <w:insideV w:val="nil"/>
        </w:tblBorders>
        <w:tblLook w:val="04A0" w:firstRow="1" w:lastRow="0" w:firstColumn="1" w:lastColumn="0" w:noHBand="0" w:noVBand="1"/>
      </w:tblPr>
      <w:tblGrid>
        <w:gridCol w:w="1701"/>
        <w:gridCol w:w="1701"/>
        <w:gridCol w:w="1701"/>
        <w:gridCol w:w="1701"/>
        <w:gridCol w:w="1701"/>
      </w:tblGrid>
      <w:tr w:rsidR="00256BA5" w14:paraId="39F5AACF" w14:textId="77777777">
        <w:trPr>
          <w:jc w:val="center"/>
        </w:trPr>
        <w:tc>
          <w:tcPr>
            <w:tcW w:w="1701" w:type="dxa"/>
            <w:vAlign w:val="center"/>
          </w:tcPr>
          <w:p w14:paraId="7B005DD3" w14:textId="77777777" w:rsidR="00256BA5" w:rsidRDefault="00000000">
            <w:r>
              <w:rPr>
                <w:b/>
              </w:rPr>
              <w:t>Variable</w:t>
            </w:r>
          </w:p>
        </w:tc>
        <w:tc>
          <w:tcPr>
            <w:tcW w:w="1701" w:type="dxa"/>
            <w:vAlign w:val="center"/>
          </w:tcPr>
          <w:p w14:paraId="581C531A" w14:textId="77777777" w:rsidR="00256BA5" w:rsidRDefault="00000000">
            <w:r>
              <w:rPr>
                <w:b/>
              </w:rPr>
              <w:t>T2DM (n=111)</w:t>
            </w:r>
          </w:p>
        </w:tc>
        <w:tc>
          <w:tcPr>
            <w:tcW w:w="1701" w:type="dxa"/>
            <w:vAlign w:val="center"/>
          </w:tcPr>
          <w:p w14:paraId="51ACE921" w14:textId="77777777" w:rsidR="00256BA5" w:rsidRDefault="00000000">
            <w:r>
              <w:rPr>
                <w:b/>
              </w:rPr>
              <w:t>Non-diabetic (n=60)</w:t>
            </w:r>
          </w:p>
        </w:tc>
        <w:tc>
          <w:tcPr>
            <w:tcW w:w="1701" w:type="dxa"/>
            <w:vAlign w:val="center"/>
          </w:tcPr>
          <w:p w14:paraId="71788B46" w14:textId="77777777" w:rsidR="00256BA5" w:rsidRDefault="00000000">
            <w:r>
              <w:rPr>
                <w:b/>
              </w:rPr>
              <w:t>T1DM (n=10)</w:t>
            </w:r>
          </w:p>
        </w:tc>
        <w:tc>
          <w:tcPr>
            <w:tcW w:w="1701" w:type="dxa"/>
            <w:vAlign w:val="center"/>
          </w:tcPr>
          <w:p w14:paraId="3883F909" w14:textId="77777777" w:rsidR="00256BA5" w:rsidRDefault="00000000">
            <w:r w:rsidRPr="00F87D50">
              <w:rPr>
                <w:b/>
                <w:i/>
                <w:iCs/>
              </w:rPr>
              <w:t>P</w:t>
            </w:r>
            <w:r>
              <w:rPr>
                <w:b/>
              </w:rPr>
              <w:t xml:space="preserve"> value</w:t>
            </w:r>
          </w:p>
        </w:tc>
      </w:tr>
      <w:tr w:rsidR="00256BA5" w14:paraId="62DE388A" w14:textId="77777777">
        <w:trPr>
          <w:jc w:val="center"/>
        </w:trPr>
        <w:tc>
          <w:tcPr>
            <w:tcW w:w="1701" w:type="dxa"/>
            <w:vAlign w:val="center"/>
          </w:tcPr>
          <w:p w14:paraId="20A68731" w14:textId="77777777" w:rsidR="00256BA5" w:rsidRDefault="00000000">
            <w:r>
              <w:t>Age (years)</w:t>
            </w:r>
          </w:p>
        </w:tc>
        <w:tc>
          <w:tcPr>
            <w:tcW w:w="1701" w:type="dxa"/>
            <w:vAlign w:val="center"/>
          </w:tcPr>
          <w:p w14:paraId="2F9D1AEC" w14:textId="77777777" w:rsidR="00256BA5" w:rsidRDefault="00000000">
            <w:r>
              <w:t>40.3 ± 6.73</w:t>
            </w:r>
          </w:p>
        </w:tc>
        <w:tc>
          <w:tcPr>
            <w:tcW w:w="1701" w:type="dxa"/>
            <w:vAlign w:val="center"/>
          </w:tcPr>
          <w:p w14:paraId="391EAB73" w14:textId="77777777" w:rsidR="00256BA5" w:rsidRDefault="00000000">
            <w:r>
              <w:t>31.5 ± 7.18</w:t>
            </w:r>
          </w:p>
        </w:tc>
        <w:tc>
          <w:tcPr>
            <w:tcW w:w="1701" w:type="dxa"/>
            <w:vAlign w:val="center"/>
          </w:tcPr>
          <w:p w14:paraId="68A41AD7" w14:textId="77777777" w:rsidR="00256BA5" w:rsidRDefault="00000000">
            <w:r>
              <w:t>24.8 ± 6.05</w:t>
            </w:r>
          </w:p>
        </w:tc>
        <w:tc>
          <w:tcPr>
            <w:tcW w:w="1701" w:type="dxa"/>
            <w:vAlign w:val="center"/>
          </w:tcPr>
          <w:p w14:paraId="7AA68F8E" w14:textId="77777777" w:rsidR="00256BA5" w:rsidRDefault="00000000">
            <w:r>
              <w:t>&lt;0.001</w:t>
            </w:r>
          </w:p>
        </w:tc>
      </w:tr>
      <w:tr w:rsidR="00256BA5" w14:paraId="00A5A0AF" w14:textId="77777777">
        <w:trPr>
          <w:jc w:val="center"/>
        </w:trPr>
        <w:tc>
          <w:tcPr>
            <w:tcW w:w="1701" w:type="dxa"/>
            <w:vAlign w:val="center"/>
          </w:tcPr>
          <w:p w14:paraId="022BED03" w14:textId="77777777" w:rsidR="00256BA5" w:rsidRDefault="00000000">
            <w:r>
              <w:t>Sex (male/female)</w:t>
            </w:r>
          </w:p>
        </w:tc>
        <w:tc>
          <w:tcPr>
            <w:tcW w:w="1701" w:type="dxa"/>
            <w:vAlign w:val="center"/>
          </w:tcPr>
          <w:p w14:paraId="6A304EA0" w14:textId="77777777" w:rsidR="00256BA5" w:rsidRDefault="00000000">
            <w:r>
              <w:t>23/88</w:t>
            </w:r>
          </w:p>
        </w:tc>
        <w:tc>
          <w:tcPr>
            <w:tcW w:w="1701" w:type="dxa"/>
            <w:vAlign w:val="center"/>
          </w:tcPr>
          <w:p w14:paraId="5A45355B" w14:textId="77777777" w:rsidR="00256BA5" w:rsidRDefault="00000000">
            <w:r>
              <w:t>4/56</w:t>
            </w:r>
          </w:p>
        </w:tc>
        <w:tc>
          <w:tcPr>
            <w:tcW w:w="1701" w:type="dxa"/>
            <w:vAlign w:val="center"/>
          </w:tcPr>
          <w:p w14:paraId="2C1CBDC0" w14:textId="77777777" w:rsidR="00256BA5" w:rsidRDefault="00000000">
            <w:r>
              <w:t>2/8</w:t>
            </w:r>
          </w:p>
        </w:tc>
        <w:tc>
          <w:tcPr>
            <w:tcW w:w="1701" w:type="dxa"/>
            <w:vAlign w:val="center"/>
          </w:tcPr>
          <w:p w14:paraId="65A8327C" w14:textId="77777777" w:rsidR="00256BA5" w:rsidRDefault="00000000">
            <w:r>
              <w:t>0.001</w:t>
            </w:r>
          </w:p>
        </w:tc>
      </w:tr>
      <w:tr w:rsidR="00256BA5" w14:paraId="19C905E9" w14:textId="77777777">
        <w:trPr>
          <w:jc w:val="center"/>
        </w:trPr>
        <w:tc>
          <w:tcPr>
            <w:tcW w:w="1701" w:type="dxa"/>
            <w:vAlign w:val="center"/>
          </w:tcPr>
          <w:p w14:paraId="6D1200AF" w14:textId="77777777" w:rsidR="00256BA5" w:rsidRDefault="00000000">
            <w:r>
              <w:t>BMI (kg/m²)</w:t>
            </w:r>
          </w:p>
        </w:tc>
        <w:tc>
          <w:tcPr>
            <w:tcW w:w="1701" w:type="dxa"/>
            <w:vAlign w:val="center"/>
          </w:tcPr>
          <w:p w14:paraId="66B132BB" w14:textId="77777777" w:rsidR="00256BA5" w:rsidRDefault="00000000">
            <w:r>
              <w:t>23.2 ± 1.40</w:t>
            </w:r>
          </w:p>
        </w:tc>
        <w:tc>
          <w:tcPr>
            <w:tcW w:w="1701" w:type="dxa"/>
            <w:vAlign w:val="center"/>
          </w:tcPr>
          <w:p w14:paraId="36F430BC" w14:textId="77777777" w:rsidR="00256BA5" w:rsidRDefault="00000000">
            <w:r>
              <w:t>23.6 ± 1.69</w:t>
            </w:r>
          </w:p>
        </w:tc>
        <w:tc>
          <w:tcPr>
            <w:tcW w:w="1701" w:type="dxa"/>
            <w:vAlign w:val="center"/>
          </w:tcPr>
          <w:p w14:paraId="50FE7F5A" w14:textId="77777777" w:rsidR="00256BA5" w:rsidRDefault="00000000">
            <w:r>
              <w:t>22.7 ± 1.83</w:t>
            </w:r>
          </w:p>
        </w:tc>
        <w:tc>
          <w:tcPr>
            <w:tcW w:w="1701" w:type="dxa"/>
            <w:vAlign w:val="center"/>
          </w:tcPr>
          <w:p w14:paraId="4E687E7B" w14:textId="77777777" w:rsidR="00256BA5" w:rsidRDefault="00000000">
            <w:r>
              <w:t>0.008</w:t>
            </w:r>
          </w:p>
        </w:tc>
      </w:tr>
      <w:tr w:rsidR="00256BA5" w14:paraId="03D46B77" w14:textId="77777777">
        <w:trPr>
          <w:jc w:val="center"/>
        </w:trPr>
        <w:tc>
          <w:tcPr>
            <w:tcW w:w="1701" w:type="dxa"/>
            <w:vAlign w:val="center"/>
          </w:tcPr>
          <w:p w14:paraId="4FF46B39" w14:textId="77777777" w:rsidR="00256BA5" w:rsidRDefault="00000000">
            <w:r>
              <w:t>Fasting glucose (mmol/L)</w:t>
            </w:r>
          </w:p>
        </w:tc>
        <w:tc>
          <w:tcPr>
            <w:tcW w:w="1701" w:type="dxa"/>
            <w:vAlign w:val="center"/>
          </w:tcPr>
          <w:p w14:paraId="6EC250A8" w14:textId="77777777" w:rsidR="00256BA5" w:rsidRDefault="00000000">
            <w:r>
              <w:t>8.82 (7.88–10.71)</w:t>
            </w:r>
          </w:p>
        </w:tc>
        <w:tc>
          <w:tcPr>
            <w:tcW w:w="1701" w:type="dxa"/>
            <w:vAlign w:val="center"/>
          </w:tcPr>
          <w:p w14:paraId="2F9D2CE7" w14:textId="77777777" w:rsidR="00256BA5" w:rsidRDefault="00000000">
            <w:r>
              <w:t>4.83 (4.55–5.05)</w:t>
            </w:r>
          </w:p>
        </w:tc>
        <w:tc>
          <w:tcPr>
            <w:tcW w:w="1701" w:type="dxa"/>
            <w:vAlign w:val="center"/>
          </w:tcPr>
          <w:p w14:paraId="3BD054BD" w14:textId="77777777" w:rsidR="00256BA5" w:rsidRDefault="00000000">
            <w:r>
              <w:t>11.04 (10.55–11.66)</w:t>
            </w:r>
          </w:p>
        </w:tc>
        <w:tc>
          <w:tcPr>
            <w:tcW w:w="1701" w:type="dxa"/>
            <w:vAlign w:val="center"/>
          </w:tcPr>
          <w:p w14:paraId="424FA0B1" w14:textId="77777777" w:rsidR="00256BA5" w:rsidRDefault="00000000">
            <w:r>
              <w:t>&lt;0.001</w:t>
            </w:r>
          </w:p>
        </w:tc>
      </w:tr>
      <w:tr w:rsidR="00256BA5" w14:paraId="4405A122" w14:textId="77777777">
        <w:trPr>
          <w:jc w:val="center"/>
        </w:trPr>
        <w:tc>
          <w:tcPr>
            <w:tcW w:w="1701" w:type="dxa"/>
            <w:vAlign w:val="center"/>
          </w:tcPr>
          <w:p w14:paraId="072B5A73" w14:textId="77777777" w:rsidR="00256BA5" w:rsidRDefault="00000000">
            <w:r>
              <w:t>HbA1c, mmol/mol (%)</w:t>
            </w:r>
          </w:p>
        </w:tc>
        <w:tc>
          <w:tcPr>
            <w:tcW w:w="1701" w:type="dxa"/>
            <w:vAlign w:val="center"/>
          </w:tcPr>
          <w:p w14:paraId="25399352" w14:textId="77777777" w:rsidR="00256BA5" w:rsidRDefault="00000000">
            <w:r>
              <w:t>73.0 ± 18.4 (8.83 ± 1.68)</w:t>
            </w:r>
          </w:p>
        </w:tc>
        <w:tc>
          <w:tcPr>
            <w:tcW w:w="1701" w:type="dxa"/>
            <w:vAlign w:val="center"/>
          </w:tcPr>
          <w:p w14:paraId="2CD56457" w14:textId="77777777" w:rsidR="00256BA5" w:rsidRDefault="00000000">
            <w:r>
              <w:t>32.2 ± 1.9 (5.10 ± 0.17)</w:t>
            </w:r>
          </w:p>
        </w:tc>
        <w:tc>
          <w:tcPr>
            <w:tcW w:w="1701" w:type="dxa"/>
            <w:vAlign w:val="center"/>
          </w:tcPr>
          <w:p w14:paraId="11773640" w14:textId="77777777" w:rsidR="00256BA5" w:rsidRDefault="00000000">
            <w:r>
              <w:t>68.3 ± 12.5 (8.40 ± 1.14)</w:t>
            </w:r>
          </w:p>
        </w:tc>
        <w:tc>
          <w:tcPr>
            <w:tcW w:w="1701" w:type="dxa"/>
            <w:vAlign w:val="center"/>
          </w:tcPr>
          <w:p w14:paraId="2568E428" w14:textId="77777777" w:rsidR="00256BA5" w:rsidRDefault="00000000">
            <w:r>
              <w:t>&lt;0.001</w:t>
            </w:r>
          </w:p>
        </w:tc>
      </w:tr>
      <w:tr w:rsidR="00256BA5" w14:paraId="0FA0765C" w14:textId="77777777">
        <w:trPr>
          <w:jc w:val="center"/>
        </w:trPr>
        <w:tc>
          <w:tcPr>
            <w:tcW w:w="1701" w:type="dxa"/>
            <w:vAlign w:val="center"/>
          </w:tcPr>
          <w:p w14:paraId="27035D96" w14:textId="77777777" w:rsidR="00256BA5" w:rsidRDefault="00000000">
            <w:r>
              <w:t>Insulin (mIU/L)</w:t>
            </w:r>
          </w:p>
        </w:tc>
        <w:tc>
          <w:tcPr>
            <w:tcW w:w="1701" w:type="dxa"/>
            <w:vAlign w:val="center"/>
          </w:tcPr>
          <w:p w14:paraId="4729FADD" w14:textId="77777777" w:rsidR="00256BA5" w:rsidRDefault="00000000">
            <w:r>
              <w:t>9.8 ± 10.40</w:t>
            </w:r>
          </w:p>
        </w:tc>
        <w:tc>
          <w:tcPr>
            <w:tcW w:w="1701" w:type="dxa"/>
            <w:vAlign w:val="center"/>
          </w:tcPr>
          <w:p w14:paraId="3089D30B" w14:textId="77777777" w:rsidR="00256BA5" w:rsidRDefault="00000000">
            <w:r>
              <w:t>7.36 ± 1.38</w:t>
            </w:r>
          </w:p>
        </w:tc>
        <w:tc>
          <w:tcPr>
            <w:tcW w:w="1701" w:type="dxa"/>
            <w:vAlign w:val="center"/>
          </w:tcPr>
          <w:p w14:paraId="32720FE9" w14:textId="77777777" w:rsidR="00256BA5" w:rsidRDefault="00000000">
            <w:r>
              <w:t>2.0 ± 0.27</w:t>
            </w:r>
          </w:p>
        </w:tc>
        <w:tc>
          <w:tcPr>
            <w:tcW w:w="1701" w:type="dxa"/>
            <w:vAlign w:val="center"/>
          </w:tcPr>
          <w:p w14:paraId="5CD918FC" w14:textId="77777777" w:rsidR="00256BA5" w:rsidRDefault="00000000">
            <w:r>
              <w:t>&lt;0.001</w:t>
            </w:r>
          </w:p>
        </w:tc>
      </w:tr>
      <w:tr w:rsidR="00256BA5" w14:paraId="43F51306" w14:textId="77777777">
        <w:trPr>
          <w:jc w:val="center"/>
        </w:trPr>
        <w:tc>
          <w:tcPr>
            <w:tcW w:w="1701" w:type="dxa"/>
            <w:vAlign w:val="center"/>
          </w:tcPr>
          <w:p w14:paraId="19E94FBC" w14:textId="77777777" w:rsidR="00256BA5" w:rsidRDefault="00000000">
            <w:r>
              <w:t>C-peptide (nmol/L)</w:t>
            </w:r>
          </w:p>
        </w:tc>
        <w:tc>
          <w:tcPr>
            <w:tcW w:w="1701" w:type="dxa"/>
            <w:vAlign w:val="center"/>
          </w:tcPr>
          <w:p w14:paraId="26A4AE7F" w14:textId="77777777" w:rsidR="00256BA5" w:rsidRDefault="00000000">
            <w:r>
              <w:t>0.72 (0.53–0.84)</w:t>
            </w:r>
          </w:p>
        </w:tc>
        <w:tc>
          <w:tcPr>
            <w:tcW w:w="1701" w:type="dxa"/>
            <w:vAlign w:val="center"/>
          </w:tcPr>
          <w:p w14:paraId="16C717C1" w14:textId="77777777" w:rsidR="00256BA5" w:rsidRDefault="00000000">
            <w:r>
              <w:t>0.77 (0.55–0.84)</w:t>
            </w:r>
          </w:p>
        </w:tc>
        <w:tc>
          <w:tcPr>
            <w:tcW w:w="1701" w:type="dxa"/>
            <w:vAlign w:val="center"/>
          </w:tcPr>
          <w:p w14:paraId="6EE703E1" w14:textId="77777777" w:rsidR="00256BA5" w:rsidRDefault="00000000">
            <w:r>
              <w:t>0.10 (0.07–0.10)</w:t>
            </w:r>
          </w:p>
        </w:tc>
        <w:tc>
          <w:tcPr>
            <w:tcW w:w="1701" w:type="dxa"/>
            <w:vAlign w:val="center"/>
          </w:tcPr>
          <w:p w14:paraId="2F8CB47E" w14:textId="77777777" w:rsidR="00256BA5" w:rsidRDefault="00000000">
            <w:r>
              <w:t>&lt;0.001</w:t>
            </w:r>
          </w:p>
        </w:tc>
      </w:tr>
      <w:tr w:rsidR="00256BA5" w14:paraId="3B687480" w14:textId="77777777">
        <w:trPr>
          <w:jc w:val="center"/>
        </w:trPr>
        <w:tc>
          <w:tcPr>
            <w:tcW w:w="1701" w:type="dxa"/>
            <w:vAlign w:val="center"/>
          </w:tcPr>
          <w:p w14:paraId="2BE7B16F" w14:textId="77777777" w:rsidR="00256BA5" w:rsidRDefault="00000000">
            <w:r>
              <w:t>HOMA-IR</w:t>
            </w:r>
          </w:p>
        </w:tc>
        <w:tc>
          <w:tcPr>
            <w:tcW w:w="1701" w:type="dxa"/>
            <w:vAlign w:val="center"/>
          </w:tcPr>
          <w:p w14:paraId="728ECA82" w14:textId="77777777" w:rsidR="00256BA5" w:rsidRDefault="00000000">
            <w:r>
              <w:t>3.5 (2.8–3.9)</w:t>
            </w:r>
          </w:p>
        </w:tc>
        <w:tc>
          <w:tcPr>
            <w:tcW w:w="1701" w:type="dxa"/>
            <w:vAlign w:val="center"/>
          </w:tcPr>
          <w:p w14:paraId="6AFBDF99" w14:textId="77777777" w:rsidR="00256BA5" w:rsidRDefault="00000000">
            <w:r>
              <w:t>1.5 (1.3–1.7)</w:t>
            </w:r>
          </w:p>
        </w:tc>
        <w:tc>
          <w:tcPr>
            <w:tcW w:w="1701" w:type="dxa"/>
            <w:vAlign w:val="center"/>
          </w:tcPr>
          <w:p w14:paraId="5BBDF2E2" w14:textId="77777777" w:rsidR="00256BA5" w:rsidRDefault="00000000">
            <w:r>
              <w:t>1.0 (0.9–1.1)</w:t>
            </w:r>
          </w:p>
        </w:tc>
        <w:tc>
          <w:tcPr>
            <w:tcW w:w="1701" w:type="dxa"/>
            <w:vAlign w:val="center"/>
          </w:tcPr>
          <w:p w14:paraId="211B9D26" w14:textId="77777777" w:rsidR="00256BA5" w:rsidRDefault="00000000">
            <w:r>
              <w:t>&lt;0.001</w:t>
            </w:r>
          </w:p>
        </w:tc>
      </w:tr>
    </w:tbl>
    <w:p w14:paraId="7917F3A6" w14:textId="4E5731D3" w:rsidR="00F87D50" w:rsidRPr="00A1655F" w:rsidRDefault="00000000" w:rsidP="00A1655F">
      <w:pPr>
        <w:jc w:val="both"/>
      </w:pPr>
      <w:r>
        <w:t xml:space="preserve">Data are mean ± standard deviation, median (interquartile range), or counts. </w:t>
      </w:r>
      <w:r w:rsidRPr="00F87D50">
        <w:rPr>
          <w:i/>
          <w:iCs/>
        </w:rPr>
        <w:t>P</w:t>
      </w:r>
      <w:r>
        <w:t xml:space="preserve"> values were calculated using one-way analysis of variance for normally distributed continuous variables, the Kruskal-Wallis test for non-normally distributed continuous variables, and Fisher's exact test for sex. Abbreviations: T2DM, type 2 diabetes mellitus; T1DM, type 1 diabetes mellitus; BMI, body mass index; HbA1c, glycated hemoglobin; HOMA-IR, homeostasis model assessment of insulin resistance.</w:t>
      </w:r>
    </w:p>
    <w:p w14:paraId="04CAA056" w14:textId="4ADF71A7" w:rsidR="00256BA5" w:rsidRDefault="00000000">
      <w:r>
        <w:rPr>
          <w:b/>
        </w:rPr>
        <w:lastRenderedPageBreak/>
        <w:t xml:space="preserve">Table 2. Distribution of rs12255372 Genotypes and Alleles and Association </w:t>
      </w:r>
      <w:proofErr w:type="gramStart"/>
      <w:r>
        <w:rPr>
          <w:b/>
        </w:rPr>
        <w:t>With</w:t>
      </w:r>
      <w:proofErr w:type="gramEnd"/>
      <w:r>
        <w:rPr>
          <w:b/>
        </w:rPr>
        <w:t xml:space="preserve"> T2DM</w:t>
      </w:r>
    </w:p>
    <w:tbl>
      <w:tblPr>
        <w:tblW w:w="0" w:type="auto"/>
        <w:jc w:val="center"/>
        <w:tblBorders>
          <w:top w:val="single" w:sz="4" w:space="0" w:color="000000"/>
          <w:left w:val="nil"/>
          <w:bottom w:val="single" w:sz="4" w:space="0" w:color="000000"/>
          <w:right w:val="nil"/>
          <w:insideH w:val="single" w:sz="4" w:space="0" w:color="000000"/>
          <w:insideV w:val="nil"/>
        </w:tblBorders>
        <w:tblLook w:val="04A0" w:firstRow="1" w:lastRow="0" w:firstColumn="1" w:lastColumn="0" w:noHBand="0" w:noVBand="1"/>
      </w:tblPr>
      <w:tblGrid>
        <w:gridCol w:w="1701"/>
        <w:gridCol w:w="1701"/>
        <w:gridCol w:w="1701"/>
        <w:gridCol w:w="1701"/>
        <w:gridCol w:w="1701"/>
      </w:tblGrid>
      <w:tr w:rsidR="00256BA5" w14:paraId="51CA6B39" w14:textId="77777777">
        <w:trPr>
          <w:jc w:val="center"/>
        </w:trPr>
        <w:tc>
          <w:tcPr>
            <w:tcW w:w="1701" w:type="dxa"/>
            <w:vAlign w:val="center"/>
          </w:tcPr>
          <w:p w14:paraId="6C75A3D5" w14:textId="77777777" w:rsidR="00256BA5" w:rsidRDefault="00000000">
            <w:r>
              <w:rPr>
                <w:b/>
              </w:rPr>
              <w:t>Measure</w:t>
            </w:r>
          </w:p>
        </w:tc>
        <w:tc>
          <w:tcPr>
            <w:tcW w:w="1701" w:type="dxa"/>
            <w:vAlign w:val="center"/>
          </w:tcPr>
          <w:p w14:paraId="781B231A" w14:textId="77777777" w:rsidR="00256BA5" w:rsidRDefault="00000000">
            <w:r>
              <w:rPr>
                <w:b/>
              </w:rPr>
              <w:t>T2DM (n=111)</w:t>
            </w:r>
          </w:p>
        </w:tc>
        <w:tc>
          <w:tcPr>
            <w:tcW w:w="1701" w:type="dxa"/>
            <w:vAlign w:val="center"/>
          </w:tcPr>
          <w:p w14:paraId="441E9F0C" w14:textId="77777777" w:rsidR="00256BA5" w:rsidRDefault="00000000">
            <w:r>
              <w:rPr>
                <w:b/>
              </w:rPr>
              <w:t>Non-diabetic (n=60)</w:t>
            </w:r>
          </w:p>
        </w:tc>
        <w:tc>
          <w:tcPr>
            <w:tcW w:w="1701" w:type="dxa"/>
            <w:vAlign w:val="center"/>
          </w:tcPr>
          <w:p w14:paraId="65C859E9" w14:textId="77777777" w:rsidR="00256BA5" w:rsidRDefault="00000000">
            <w:r>
              <w:rPr>
                <w:b/>
              </w:rPr>
              <w:t>OR (95% CI)</w:t>
            </w:r>
          </w:p>
        </w:tc>
        <w:tc>
          <w:tcPr>
            <w:tcW w:w="1701" w:type="dxa"/>
            <w:vAlign w:val="center"/>
          </w:tcPr>
          <w:p w14:paraId="522E3595" w14:textId="77777777" w:rsidR="00256BA5" w:rsidRDefault="00000000">
            <w:r w:rsidRPr="00F87D50">
              <w:rPr>
                <w:b/>
                <w:i/>
                <w:iCs/>
              </w:rPr>
              <w:t>P</w:t>
            </w:r>
            <w:r>
              <w:rPr>
                <w:b/>
              </w:rPr>
              <w:t xml:space="preserve"> value</w:t>
            </w:r>
          </w:p>
        </w:tc>
      </w:tr>
      <w:tr w:rsidR="00256BA5" w14:paraId="5F8BD6BD" w14:textId="77777777">
        <w:trPr>
          <w:jc w:val="center"/>
        </w:trPr>
        <w:tc>
          <w:tcPr>
            <w:tcW w:w="1701" w:type="dxa"/>
            <w:vAlign w:val="center"/>
          </w:tcPr>
          <w:p w14:paraId="5D80383B" w14:textId="77777777" w:rsidR="00256BA5" w:rsidRDefault="00000000">
            <w:r>
              <w:t>GG genotype</w:t>
            </w:r>
          </w:p>
        </w:tc>
        <w:tc>
          <w:tcPr>
            <w:tcW w:w="1701" w:type="dxa"/>
            <w:vAlign w:val="center"/>
          </w:tcPr>
          <w:p w14:paraId="1AFA1710" w14:textId="77777777" w:rsidR="00256BA5" w:rsidRDefault="00000000">
            <w:r>
              <w:t>107 (96.4%)</w:t>
            </w:r>
          </w:p>
        </w:tc>
        <w:tc>
          <w:tcPr>
            <w:tcW w:w="1701" w:type="dxa"/>
            <w:vAlign w:val="center"/>
          </w:tcPr>
          <w:p w14:paraId="07537C4F" w14:textId="77777777" w:rsidR="00256BA5" w:rsidRDefault="00000000">
            <w:r>
              <w:t>58 (96.7%)</w:t>
            </w:r>
          </w:p>
        </w:tc>
        <w:tc>
          <w:tcPr>
            <w:tcW w:w="1701" w:type="dxa"/>
            <w:vAlign w:val="center"/>
          </w:tcPr>
          <w:p w14:paraId="28D49EB8" w14:textId="77777777" w:rsidR="00256BA5" w:rsidRDefault="00000000">
            <w:r>
              <w:t>Reference</w:t>
            </w:r>
          </w:p>
        </w:tc>
        <w:tc>
          <w:tcPr>
            <w:tcW w:w="1701" w:type="dxa"/>
            <w:vAlign w:val="center"/>
          </w:tcPr>
          <w:p w14:paraId="7FD9BF46" w14:textId="77777777" w:rsidR="00256BA5" w:rsidRDefault="00000000">
            <w:r>
              <w:t>—</w:t>
            </w:r>
          </w:p>
        </w:tc>
      </w:tr>
      <w:tr w:rsidR="00256BA5" w14:paraId="44DCC696" w14:textId="77777777">
        <w:trPr>
          <w:jc w:val="center"/>
        </w:trPr>
        <w:tc>
          <w:tcPr>
            <w:tcW w:w="1701" w:type="dxa"/>
            <w:vAlign w:val="center"/>
          </w:tcPr>
          <w:p w14:paraId="12BA09AC" w14:textId="77777777" w:rsidR="00256BA5" w:rsidRDefault="00000000">
            <w:r>
              <w:t>GT genotype</w:t>
            </w:r>
          </w:p>
        </w:tc>
        <w:tc>
          <w:tcPr>
            <w:tcW w:w="1701" w:type="dxa"/>
            <w:vAlign w:val="center"/>
          </w:tcPr>
          <w:p w14:paraId="0611CC60" w14:textId="77777777" w:rsidR="00256BA5" w:rsidRDefault="00000000">
            <w:r>
              <w:t>4 (3.6%)</w:t>
            </w:r>
          </w:p>
        </w:tc>
        <w:tc>
          <w:tcPr>
            <w:tcW w:w="1701" w:type="dxa"/>
            <w:vAlign w:val="center"/>
          </w:tcPr>
          <w:p w14:paraId="73DA3DE3" w14:textId="77777777" w:rsidR="00256BA5" w:rsidRDefault="00000000">
            <w:r>
              <w:t>2 (3.3%)</w:t>
            </w:r>
          </w:p>
        </w:tc>
        <w:tc>
          <w:tcPr>
            <w:tcW w:w="1701" w:type="dxa"/>
            <w:vAlign w:val="center"/>
          </w:tcPr>
          <w:p w14:paraId="16852474" w14:textId="77777777" w:rsidR="00256BA5" w:rsidRDefault="00000000">
            <w:r>
              <w:t>1.08 (0.19–6.16)</w:t>
            </w:r>
          </w:p>
        </w:tc>
        <w:tc>
          <w:tcPr>
            <w:tcW w:w="1701" w:type="dxa"/>
            <w:vAlign w:val="center"/>
          </w:tcPr>
          <w:p w14:paraId="0CD43AB4" w14:textId="77777777" w:rsidR="00256BA5" w:rsidRDefault="00000000">
            <w:r>
              <w:t>0.930</w:t>
            </w:r>
          </w:p>
        </w:tc>
      </w:tr>
      <w:tr w:rsidR="00256BA5" w14:paraId="456BC5E0" w14:textId="77777777">
        <w:trPr>
          <w:jc w:val="center"/>
        </w:trPr>
        <w:tc>
          <w:tcPr>
            <w:tcW w:w="1701" w:type="dxa"/>
            <w:vAlign w:val="center"/>
          </w:tcPr>
          <w:p w14:paraId="64BB2EFF" w14:textId="77777777" w:rsidR="00256BA5" w:rsidRDefault="00000000">
            <w:r>
              <w:t>G allele</w:t>
            </w:r>
          </w:p>
        </w:tc>
        <w:tc>
          <w:tcPr>
            <w:tcW w:w="1701" w:type="dxa"/>
            <w:vAlign w:val="center"/>
          </w:tcPr>
          <w:p w14:paraId="7C06E9EA" w14:textId="77777777" w:rsidR="00256BA5" w:rsidRDefault="00000000">
            <w:r>
              <w:t>218 (98.2%)</w:t>
            </w:r>
          </w:p>
        </w:tc>
        <w:tc>
          <w:tcPr>
            <w:tcW w:w="1701" w:type="dxa"/>
            <w:vAlign w:val="center"/>
          </w:tcPr>
          <w:p w14:paraId="3048AAD3" w14:textId="77777777" w:rsidR="00256BA5" w:rsidRDefault="00000000">
            <w:r>
              <w:t>118 (98.3%)</w:t>
            </w:r>
          </w:p>
        </w:tc>
        <w:tc>
          <w:tcPr>
            <w:tcW w:w="1701" w:type="dxa"/>
            <w:vAlign w:val="center"/>
          </w:tcPr>
          <w:p w14:paraId="6ECE1B05" w14:textId="77777777" w:rsidR="00256BA5" w:rsidRDefault="00000000">
            <w:r>
              <w:t>—</w:t>
            </w:r>
          </w:p>
        </w:tc>
        <w:tc>
          <w:tcPr>
            <w:tcW w:w="1701" w:type="dxa"/>
            <w:vAlign w:val="center"/>
          </w:tcPr>
          <w:p w14:paraId="73EF7BC2" w14:textId="77777777" w:rsidR="00256BA5" w:rsidRDefault="00000000">
            <w:r>
              <w:t>0.920</w:t>
            </w:r>
          </w:p>
        </w:tc>
      </w:tr>
      <w:tr w:rsidR="00256BA5" w14:paraId="6B5307AF" w14:textId="77777777">
        <w:trPr>
          <w:jc w:val="center"/>
        </w:trPr>
        <w:tc>
          <w:tcPr>
            <w:tcW w:w="1701" w:type="dxa"/>
            <w:vAlign w:val="center"/>
          </w:tcPr>
          <w:p w14:paraId="5292FAB7" w14:textId="77777777" w:rsidR="00256BA5" w:rsidRDefault="00000000">
            <w:r>
              <w:t>T allele</w:t>
            </w:r>
          </w:p>
        </w:tc>
        <w:tc>
          <w:tcPr>
            <w:tcW w:w="1701" w:type="dxa"/>
            <w:vAlign w:val="center"/>
          </w:tcPr>
          <w:p w14:paraId="6BA91E3D" w14:textId="77777777" w:rsidR="00256BA5" w:rsidRDefault="00000000">
            <w:r>
              <w:t>4 (1.8%)</w:t>
            </w:r>
          </w:p>
        </w:tc>
        <w:tc>
          <w:tcPr>
            <w:tcW w:w="1701" w:type="dxa"/>
            <w:vAlign w:val="center"/>
          </w:tcPr>
          <w:p w14:paraId="51F9E93E" w14:textId="77777777" w:rsidR="00256BA5" w:rsidRDefault="00000000">
            <w:r>
              <w:t>2 (1.7%)</w:t>
            </w:r>
          </w:p>
        </w:tc>
        <w:tc>
          <w:tcPr>
            <w:tcW w:w="1701" w:type="dxa"/>
            <w:vAlign w:val="center"/>
          </w:tcPr>
          <w:p w14:paraId="7B75DCB1" w14:textId="77777777" w:rsidR="00256BA5" w:rsidRDefault="00000000">
            <w:r>
              <w:t>—</w:t>
            </w:r>
          </w:p>
        </w:tc>
        <w:tc>
          <w:tcPr>
            <w:tcW w:w="1701" w:type="dxa"/>
            <w:vAlign w:val="center"/>
          </w:tcPr>
          <w:p w14:paraId="73A06517" w14:textId="77777777" w:rsidR="00256BA5" w:rsidRDefault="00000000">
            <w:r>
              <w:t>—</w:t>
            </w:r>
          </w:p>
        </w:tc>
      </w:tr>
    </w:tbl>
    <w:p w14:paraId="6B5AA6CE" w14:textId="77777777" w:rsidR="00256BA5" w:rsidRDefault="00000000" w:rsidP="00F87D50">
      <w:pPr>
        <w:jc w:val="both"/>
      </w:pPr>
      <w:r w:rsidRPr="00F87D50">
        <w:rPr>
          <w:i/>
          <w:iCs/>
        </w:rPr>
        <w:t>P</w:t>
      </w:r>
      <w:r>
        <w:t xml:space="preserve"> values were calculated using Fisher's exact test. The genotype distribution in the control group was consistent with Hardy-Weinberg equilibrium (P=1.000). Abbreviations: T2DM, type 2 diabetes mellitus; OR, odds ratio; CI, confidence interval.</w:t>
      </w:r>
    </w:p>
    <w:p w14:paraId="70F35263" w14:textId="77777777" w:rsidR="00A1655F" w:rsidRDefault="00A1655F">
      <w:pPr>
        <w:rPr>
          <w:b/>
        </w:rPr>
      </w:pPr>
    </w:p>
    <w:p w14:paraId="124DB434" w14:textId="77777777" w:rsidR="00A1655F" w:rsidRDefault="00A1655F">
      <w:pPr>
        <w:rPr>
          <w:b/>
        </w:rPr>
      </w:pPr>
    </w:p>
    <w:p w14:paraId="0449ABC8" w14:textId="77777777" w:rsidR="00A1655F" w:rsidRDefault="00A1655F">
      <w:pPr>
        <w:rPr>
          <w:b/>
        </w:rPr>
      </w:pPr>
    </w:p>
    <w:p w14:paraId="26AEF7D3" w14:textId="77777777" w:rsidR="00A1655F" w:rsidRDefault="00A1655F">
      <w:pPr>
        <w:rPr>
          <w:b/>
        </w:rPr>
      </w:pPr>
    </w:p>
    <w:p w14:paraId="671A6E3B" w14:textId="77777777" w:rsidR="00A1655F" w:rsidRDefault="00A1655F">
      <w:pPr>
        <w:rPr>
          <w:b/>
        </w:rPr>
      </w:pPr>
    </w:p>
    <w:p w14:paraId="35A4BE0A" w14:textId="77777777" w:rsidR="00A1655F" w:rsidRDefault="00A1655F">
      <w:pPr>
        <w:rPr>
          <w:b/>
        </w:rPr>
      </w:pPr>
    </w:p>
    <w:p w14:paraId="0F530BD7" w14:textId="77777777" w:rsidR="00A1655F" w:rsidRDefault="00A1655F">
      <w:pPr>
        <w:rPr>
          <w:b/>
        </w:rPr>
      </w:pPr>
    </w:p>
    <w:p w14:paraId="35243FB6" w14:textId="77777777" w:rsidR="00A1655F" w:rsidRDefault="00A1655F">
      <w:pPr>
        <w:rPr>
          <w:b/>
        </w:rPr>
      </w:pPr>
    </w:p>
    <w:p w14:paraId="688B575E" w14:textId="77777777" w:rsidR="00A1655F" w:rsidRDefault="00A1655F">
      <w:pPr>
        <w:rPr>
          <w:b/>
        </w:rPr>
      </w:pPr>
    </w:p>
    <w:p w14:paraId="521A91F1" w14:textId="77777777" w:rsidR="00A1655F" w:rsidRDefault="00A1655F">
      <w:pPr>
        <w:rPr>
          <w:b/>
        </w:rPr>
      </w:pPr>
    </w:p>
    <w:p w14:paraId="054FCCCB" w14:textId="77777777" w:rsidR="00A1655F" w:rsidRDefault="00A1655F">
      <w:pPr>
        <w:rPr>
          <w:b/>
        </w:rPr>
      </w:pPr>
    </w:p>
    <w:p w14:paraId="2BBEF2CF" w14:textId="77777777" w:rsidR="00A1655F" w:rsidRDefault="00A1655F">
      <w:pPr>
        <w:rPr>
          <w:b/>
        </w:rPr>
      </w:pPr>
    </w:p>
    <w:p w14:paraId="0FBE0BC6" w14:textId="61704975" w:rsidR="00256BA5" w:rsidRDefault="00000000">
      <w:r>
        <w:rPr>
          <w:b/>
        </w:rPr>
        <w:lastRenderedPageBreak/>
        <w:t>Table 3. C-Peptide and HOMA-IR According to rs12255372 Genotype</w:t>
      </w:r>
    </w:p>
    <w:tbl>
      <w:tblPr>
        <w:tblW w:w="0" w:type="auto"/>
        <w:jc w:val="center"/>
        <w:tblBorders>
          <w:top w:val="single" w:sz="4" w:space="0" w:color="000000"/>
          <w:left w:val="nil"/>
          <w:bottom w:val="single" w:sz="4" w:space="0" w:color="000000"/>
          <w:right w:val="nil"/>
          <w:insideH w:val="single" w:sz="4" w:space="0" w:color="000000"/>
          <w:insideV w:val="nil"/>
        </w:tblBorders>
        <w:tblLook w:val="04A0" w:firstRow="1" w:lastRow="0" w:firstColumn="1" w:lastColumn="0" w:noHBand="0" w:noVBand="1"/>
      </w:tblPr>
      <w:tblGrid>
        <w:gridCol w:w="2126"/>
        <w:gridCol w:w="2126"/>
        <w:gridCol w:w="2126"/>
        <w:gridCol w:w="2126"/>
      </w:tblGrid>
      <w:tr w:rsidR="00256BA5" w14:paraId="358FCC2C" w14:textId="77777777">
        <w:trPr>
          <w:jc w:val="center"/>
        </w:trPr>
        <w:tc>
          <w:tcPr>
            <w:tcW w:w="2126" w:type="dxa"/>
            <w:vAlign w:val="center"/>
          </w:tcPr>
          <w:p w14:paraId="08D663CE" w14:textId="77777777" w:rsidR="00256BA5" w:rsidRDefault="00000000">
            <w:r>
              <w:rPr>
                <w:b/>
              </w:rPr>
              <w:t>Outcome</w:t>
            </w:r>
          </w:p>
        </w:tc>
        <w:tc>
          <w:tcPr>
            <w:tcW w:w="2126" w:type="dxa"/>
            <w:vAlign w:val="center"/>
          </w:tcPr>
          <w:p w14:paraId="23BF8425" w14:textId="77777777" w:rsidR="00256BA5" w:rsidRDefault="00000000">
            <w:r>
              <w:rPr>
                <w:b/>
              </w:rPr>
              <w:t>GG (n=175)</w:t>
            </w:r>
          </w:p>
        </w:tc>
        <w:tc>
          <w:tcPr>
            <w:tcW w:w="2126" w:type="dxa"/>
            <w:vAlign w:val="center"/>
          </w:tcPr>
          <w:p w14:paraId="053D3CA9" w14:textId="77777777" w:rsidR="00256BA5" w:rsidRDefault="00000000">
            <w:r>
              <w:rPr>
                <w:b/>
              </w:rPr>
              <w:t>GT (n=6)</w:t>
            </w:r>
          </w:p>
        </w:tc>
        <w:tc>
          <w:tcPr>
            <w:tcW w:w="2126" w:type="dxa"/>
            <w:vAlign w:val="center"/>
          </w:tcPr>
          <w:p w14:paraId="194CE23C" w14:textId="77777777" w:rsidR="00256BA5" w:rsidRDefault="00000000">
            <w:r w:rsidRPr="00F87D50">
              <w:rPr>
                <w:b/>
                <w:i/>
                <w:iCs/>
              </w:rPr>
              <w:t>P</w:t>
            </w:r>
            <w:r>
              <w:rPr>
                <w:b/>
              </w:rPr>
              <w:t xml:space="preserve"> value</w:t>
            </w:r>
          </w:p>
        </w:tc>
      </w:tr>
      <w:tr w:rsidR="00256BA5" w14:paraId="6121AFAF" w14:textId="77777777">
        <w:trPr>
          <w:jc w:val="center"/>
        </w:trPr>
        <w:tc>
          <w:tcPr>
            <w:tcW w:w="2126" w:type="dxa"/>
            <w:vAlign w:val="center"/>
          </w:tcPr>
          <w:p w14:paraId="68988C8C" w14:textId="77777777" w:rsidR="00256BA5" w:rsidRDefault="00000000">
            <w:r>
              <w:t>C-peptide (nmol/L)</w:t>
            </w:r>
          </w:p>
        </w:tc>
        <w:tc>
          <w:tcPr>
            <w:tcW w:w="2126" w:type="dxa"/>
            <w:vAlign w:val="center"/>
          </w:tcPr>
          <w:p w14:paraId="3F54CB86" w14:textId="77777777" w:rsidR="00256BA5" w:rsidRDefault="00000000">
            <w:r>
              <w:t>0.70 (0.50–0.83)</w:t>
            </w:r>
          </w:p>
        </w:tc>
        <w:tc>
          <w:tcPr>
            <w:tcW w:w="2126" w:type="dxa"/>
            <w:vAlign w:val="center"/>
          </w:tcPr>
          <w:p w14:paraId="3310A667" w14:textId="77777777" w:rsidR="00256BA5" w:rsidRDefault="00000000">
            <w:r>
              <w:t>0.79 (0.70–0.86)</w:t>
            </w:r>
          </w:p>
        </w:tc>
        <w:tc>
          <w:tcPr>
            <w:tcW w:w="2126" w:type="dxa"/>
            <w:vAlign w:val="center"/>
          </w:tcPr>
          <w:p w14:paraId="20CC8547" w14:textId="77777777" w:rsidR="00256BA5" w:rsidRDefault="00000000">
            <w:r>
              <w:t>0.157</w:t>
            </w:r>
          </w:p>
        </w:tc>
      </w:tr>
      <w:tr w:rsidR="00256BA5" w14:paraId="648C287D" w14:textId="77777777">
        <w:trPr>
          <w:jc w:val="center"/>
        </w:trPr>
        <w:tc>
          <w:tcPr>
            <w:tcW w:w="2126" w:type="dxa"/>
            <w:vAlign w:val="center"/>
          </w:tcPr>
          <w:p w14:paraId="645DC3EF" w14:textId="77777777" w:rsidR="00256BA5" w:rsidRDefault="00000000">
            <w:r>
              <w:t>HOMA-IR</w:t>
            </w:r>
          </w:p>
        </w:tc>
        <w:tc>
          <w:tcPr>
            <w:tcW w:w="2126" w:type="dxa"/>
            <w:vAlign w:val="center"/>
          </w:tcPr>
          <w:p w14:paraId="7C328F39" w14:textId="77777777" w:rsidR="00256BA5" w:rsidRDefault="00000000">
            <w:r>
              <w:t>2.7 (1.6–3.6)</w:t>
            </w:r>
          </w:p>
        </w:tc>
        <w:tc>
          <w:tcPr>
            <w:tcW w:w="2126" w:type="dxa"/>
            <w:vAlign w:val="center"/>
          </w:tcPr>
          <w:p w14:paraId="3AAD7106" w14:textId="77777777" w:rsidR="00256BA5" w:rsidRDefault="00000000">
            <w:r>
              <w:t>3.0 (1.9–3.7)</w:t>
            </w:r>
          </w:p>
        </w:tc>
        <w:tc>
          <w:tcPr>
            <w:tcW w:w="2126" w:type="dxa"/>
            <w:vAlign w:val="center"/>
          </w:tcPr>
          <w:p w14:paraId="2AD5BBA3" w14:textId="77777777" w:rsidR="00256BA5" w:rsidRDefault="00000000">
            <w:r>
              <w:t>0.609</w:t>
            </w:r>
          </w:p>
        </w:tc>
      </w:tr>
    </w:tbl>
    <w:p w14:paraId="5EB583EE" w14:textId="74933393" w:rsidR="00F87D50" w:rsidRPr="00F87D50" w:rsidRDefault="00000000" w:rsidP="00F87D50">
      <w:pPr>
        <w:jc w:val="both"/>
      </w:pPr>
      <w:r>
        <w:t xml:space="preserve">Data are median (interquartile range). Exploratory analyses included the full genotyped cohort. </w:t>
      </w:r>
      <w:r w:rsidRPr="00F87D50">
        <w:rPr>
          <w:i/>
          <w:iCs/>
        </w:rPr>
        <w:t>P</w:t>
      </w:r>
      <w:r>
        <w:t xml:space="preserve"> values were calculated using the Mann-Whitney U test. Abbreviation: HOMA-IR, homeostasis model assessment of insulin resistance.</w:t>
      </w:r>
    </w:p>
    <w:p w14:paraId="4565BA60" w14:textId="77777777" w:rsidR="00CC5565" w:rsidRDefault="00CC5565" w:rsidP="00CC5565">
      <w:pPr>
        <w:rPr>
          <w:b/>
        </w:rPr>
      </w:pPr>
    </w:p>
    <w:p w14:paraId="5A41723D" w14:textId="77777777" w:rsidR="00A1655F" w:rsidRDefault="00A1655F" w:rsidP="00CC5565">
      <w:pPr>
        <w:rPr>
          <w:b/>
        </w:rPr>
      </w:pPr>
    </w:p>
    <w:p w14:paraId="73644CFF" w14:textId="77777777" w:rsidR="00A1655F" w:rsidRDefault="00A1655F" w:rsidP="00CC5565">
      <w:pPr>
        <w:rPr>
          <w:b/>
        </w:rPr>
      </w:pPr>
    </w:p>
    <w:p w14:paraId="6D8DF78B" w14:textId="77777777" w:rsidR="00A1655F" w:rsidRDefault="00A1655F" w:rsidP="00CC5565">
      <w:pPr>
        <w:rPr>
          <w:b/>
        </w:rPr>
      </w:pPr>
    </w:p>
    <w:p w14:paraId="17B043E1" w14:textId="77777777" w:rsidR="00A1655F" w:rsidRDefault="00A1655F" w:rsidP="00CC5565">
      <w:pPr>
        <w:rPr>
          <w:b/>
        </w:rPr>
      </w:pPr>
    </w:p>
    <w:p w14:paraId="18A972E5" w14:textId="77777777" w:rsidR="00A1655F" w:rsidRDefault="00A1655F" w:rsidP="00CC5565">
      <w:pPr>
        <w:rPr>
          <w:b/>
        </w:rPr>
      </w:pPr>
    </w:p>
    <w:p w14:paraId="7A80225C" w14:textId="77777777" w:rsidR="00A1655F" w:rsidRDefault="00A1655F" w:rsidP="00CC5565">
      <w:pPr>
        <w:rPr>
          <w:b/>
        </w:rPr>
      </w:pPr>
    </w:p>
    <w:p w14:paraId="10682589" w14:textId="77777777" w:rsidR="00A1655F" w:rsidRDefault="00A1655F" w:rsidP="00CC5565">
      <w:pPr>
        <w:rPr>
          <w:b/>
        </w:rPr>
      </w:pPr>
    </w:p>
    <w:p w14:paraId="44C46146" w14:textId="77777777" w:rsidR="00A1655F" w:rsidRDefault="00A1655F" w:rsidP="00CC5565">
      <w:pPr>
        <w:rPr>
          <w:b/>
        </w:rPr>
      </w:pPr>
    </w:p>
    <w:p w14:paraId="43B03C93" w14:textId="77777777" w:rsidR="00A1655F" w:rsidRDefault="00A1655F" w:rsidP="00CC5565">
      <w:pPr>
        <w:rPr>
          <w:b/>
        </w:rPr>
      </w:pPr>
    </w:p>
    <w:p w14:paraId="274C324C" w14:textId="77777777" w:rsidR="00A1655F" w:rsidRDefault="00A1655F" w:rsidP="00CC5565">
      <w:pPr>
        <w:rPr>
          <w:b/>
        </w:rPr>
      </w:pPr>
    </w:p>
    <w:p w14:paraId="70E09030" w14:textId="77777777" w:rsidR="00A1655F" w:rsidRDefault="00A1655F" w:rsidP="00CC5565">
      <w:pPr>
        <w:rPr>
          <w:b/>
        </w:rPr>
      </w:pPr>
    </w:p>
    <w:p w14:paraId="4749119B" w14:textId="77777777" w:rsidR="00A1655F" w:rsidRDefault="00A1655F" w:rsidP="00CC5565">
      <w:pPr>
        <w:rPr>
          <w:b/>
        </w:rPr>
      </w:pPr>
    </w:p>
    <w:p w14:paraId="688D3D72" w14:textId="77777777" w:rsidR="00A1655F" w:rsidRDefault="00A1655F" w:rsidP="00CC5565">
      <w:pPr>
        <w:rPr>
          <w:b/>
        </w:rPr>
      </w:pPr>
    </w:p>
    <w:p w14:paraId="46A903EC" w14:textId="77777777" w:rsidR="00A1655F" w:rsidRDefault="00A1655F" w:rsidP="00CC5565">
      <w:pPr>
        <w:rPr>
          <w:b/>
        </w:rPr>
      </w:pPr>
    </w:p>
    <w:p w14:paraId="23DAA225" w14:textId="77777777" w:rsidR="00A1655F" w:rsidRDefault="00A1655F" w:rsidP="00CC5565">
      <w:pPr>
        <w:rPr>
          <w:b/>
        </w:rPr>
      </w:pPr>
    </w:p>
    <w:p w14:paraId="15B1F0C0" w14:textId="77777777" w:rsidR="00A1655F" w:rsidRDefault="00A1655F" w:rsidP="00CC5565">
      <w:pPr>
        <w:rPr>
          <w:b/>
        </w:rPr>
      </w:pPr>
    </w:p>
    <w:p w14:paraId="6E7C75A7" w14:textId="158B225C" w:rsidR="00256BA5" w:rsidRDefault="00000000" w:rsidP="00CC5565">
      <w:r>
        <w:rPr>
          <w:b/>
        </w:rPr>
        <w:lastRenderedPageBreak/>
        <w:t>Table 4. Multivariable Logistic Regression Model for T2DM</w:t>
      </w:r>
    </w:p>
    <w:tbl>
      <w:tblPr>
        <w:tblW w:w="0" w:type="auto"/>
        <w:jc w:val="center"/>
        <w:tblBorders>
          <w:top w:val="single" w:sz="4" w:space="0" w:color="000000"/>
          <w:left w:val="nil"/>
          <w:bottom w:val="single" w:sz="4" w:space="0" w:color="000000"/>
          <w:right w:val="nil"/>
          <w:insideH w:val="single" w:sz="4" w:space="0" w:color="000000"/>
          <w:insideV w:val="nil"/>
        </w:tblBorders>
        <w:tblLook w:val="04A0" w:firstRow="1" w:lastRow="0" w:firstColumn="1" w:lastColumn="0" w:noHBand="0" w:noVBand="1"/>
      </w:tblPr>
      <w:tblGrid>
        <w:gridCol w:w="2126"/>
        <w:gridCol w:w="2126"/>
        <w:gridCol w:w="2126"/>
        <w:gridCol w:w="2126"/>
      </w:tblGrid>
      <w:tr w:rsidR="00256BA5" w14:paraId="1455FBAE" w14:textId="77777777">
        <w:trPr>
          <w:jc w:val="center"/>
        </w:trPr>
        <w:tc>
          <w:tcPr>
            <w:tcW w:w="2126" w:type="dxa"/>
            <w:vAlign w:val="center"/>
          </w:tcPr>
          <w:p w14:paraId="37BA852C" w14:textId="77777777" w:rsidR="00256BA5" w:rsidRDefault="00000000">
            <w:r>
              <w:rPr>
                <w:b/>
              </w:rPr>
              <w:t>Variable</w:t>
            </w:r>
          </w:p>
        </w:tc>
        <w:tc>
          <w:tcPr>
            <w:tcW w:w="2126" w:type="dxa"/>
            <w:vAlign w:val="center"/>
          </w:tcPr>
          <w:p w14:paraId="0993CC6B" w14:textId="77777777" w:rsidR="00256BA5" w:rsidRDefault="00000000">
            <w:r>
              <w:rPr>
                <w:b/>
              </w:rPr>
              <w:t>Adjusted OR</w:t>
            </w:r>
          </w:p>
        </w:tc>
        <w:tc>
          <w:tcPr>
            <w:tcW w:w="2126" w:type="dxa"/>
            <w:vAlign w:val="center"/>
          </w:tcPr>
          <w:p w14:paraId="0615D9C6" w14:textId="77777777" w:rsidR="00256BA5" w:rsidRDefault="00000000">
            <w:r>
              <w:rPr>
                <w:b/>
              </w:rPr>
              <w:t>95% CI</w:t>
            </w:r>
          </w:p>
        </w:tc>
        <w:tc>
          <w:tcPr>
            <w:tcW w:w="2126" w:type="dxa"/>
            <w:vAlign w:val="center"/>
          </w:tcPr>
          <w:p w14:paraId="0F503D8D" w14:textId="77777777" w:rsidR="00256BA5" w:rsidRDefault="00000000">
            <w:r w:rsidRPr="00F87D50">
              <w:rPr>
                <w:b/>
                <w:i/>
                <w:iCs/>
              </w:rPr>
              <w:t>P</w:t>
            </w:r>
            <w:r>
              <w:rPr>
                <w:b/>
              </w:rPr>
              <w:t xml:space="preserve"> value</w:t>
            </w:r>
          </w:p>
        </w:tc>
      </w:tr>
      <w:tr w:rsidR="00256BA5" w14:paraId="172B191E" w14:textId="77777777">
        <w:trPr>
          <w:jc w:val="center"/>
        </w:trPr>
        <w:tc>
          <w:tcPr>
            <w:tcW w:w="2126" w:type="dxa"/>
            <w:vAlign w:val="center"/>
          </w:tcPr>
          <w:p w14:paraId="41A4F131" w14:textId="77777777" w:rsidR="00256BA5" w:rsidRDefault="00000000">
            <w:r>
              <w:t>rs12255372 genotype</w:t>
            </w:r>
          </w:p>
        </w:tc>
        <w:tc>
          <w:tcPr>
            <w:tcW w:w="2126" w:type="dxa"/>
            <w:vAlign w:val="center"/>
          </w:tcPr>
          <w:p w14:paraId="6FC5BA5E" w14:textId="77777777" w:rsidR="00256BA5" w:rsidRDefault="00000000">
            <w:r>
              <w:t>0.646</w:t>
            </w:r>
          </w:p>
        </w:tc>
        <w:tc>
          <w:tcPr>
            <w:tcW w:w="2126" w:type="dxa"/>
            <w:vAlign w:val="center"/>
          </w:tcPr>
          <w:p w14:paraId="0F8B92A0" w14:textId="77777777" w:rsidR="00256BA5" w:rsidRDefault="00000000">
            <w:r>
              <w:t>0.070–5.969</w:t>
            </w:r>
          </w:p>
        </w:tc>
        <w:tc>
          <w:tcPr>
            <w:tcW w:w="2126" w:type="dxa"/>
            <w:vAlign w:val="center"/>
          </w:tcPr>
          <w:p w14:paraId="7884BBF2" w14:textId="77777777" w:rsidR="00256BA5" w:rsidRDefault="00000000">
            <w:r>
              <w:t>0.700</w:t>
            </w:r>
          </w:p>
        </w:tc>
      </w:tr>
      <w:tr w:rsidR="00256BA5" w14:paraId="20387307" w14:textId="77777777">
        <w:trPr>
          <w:jc w:val="center"/>
        </w:trPr>
        <w:tc>
          <w:tcPr>
            <w:tcW w:w="2126" w:type="dxa"/>
            <w:vAlign w:val="center"/>
          </w:tcPr>
          <w:p w14:paraId="6B6F6472" w14:textId="77777777" w:rsidR="00256BA5" w:rsidRDefault="00000000">
            <w:r>
              <w:t>Age</w:t>
            </w:r>
          </w:p>
        </w:tc>
        <w:tc>
          <w:tcPr>
            <w:tcW w:w="2126" w:type="dxa"/>
            <w:vAlign w:val="center"/>
          </w:tcPr>
          <w:p w14:paraId="2B6D4D5F" w14:textId="77777777" w:rsidR="00256BA5" w:rsidRDefault="00000000">
            <w:r>
              <w:t>1.323</w:t>
            </w:r>
          </w:p>
        </w:tc>
        <w:tc>
          <w:tcPr>
            <w:tcW w:w="2126" w:type="dxa"/>
            <w:vAlign w:val="center"/>
          </w:tcPr>
          <w:p w14:paraId="1B3DF4FB" w14:textId="77777777" w:rsidR="00256BA5" w:rsidRDefault="00000000">
            <w:r>
              <w:t>1.199–1.459</w:t>
            </w:r>
          </w:p>
        </w:tc>
        <w:tc>
          <w:tcPr>
            <w:tcW w:w="2126" w:type="dxa"/>
            <w:vAlign w:val="center"/>
          </w:tcPr>
          <w:p w14:paraId="32EBEEE4" w14:textId="77777777" w:rsidR="00256BA5" w:rsidRDefault="00000000">
            <w:r>
              <w:t>&lt;0.001</w:t>
            </w:r>
          </w:p>
        </w:tc>
      </w:tr>
      <w:tr w:rsidR="00256BA5" w14:paraId="1E3670DC" w14:textId="77777777">
        <w:trPr>
          <w:jc w:val="center"/>
        </w:trPr>
        <w:tc>
          <w:tcPr>
            <w:tcW w:w="2126" w:type="dxa"/>
            <w:vAlign w:val="center"/>
          </w:tcPr>
          <w:p w14:paraId="30A190FC" w14:textId="77777777" w:rsidR="00256BA5" w:rsidRDefault="00000000">
            <w:r>
              <w:t>BMI</w:t>
            </w:r>
          </w:p>
        </w:tc>
        <w:tc>
          <w:tcPr>
            <w:tcW w:w="2126" w:type="dxa"/>
            <w:vAlign w:val="center"/>
          </w:tcPr>
          <w:p w14:paraId="4143EB4A" w14:textId="77777777" w:rsidR="00256BA5" w:rsidRDefault="00000000">
            <w:r>
              <w:t>0.752</w:t>
            </w:r>
          </w:p>
        </w:tc>
        <w:tc>
          <w:tcPr>
            <w:tcW w:w="2126" w:type="dxa"/>
            <w:vAlign w:val="center"/>
          </w:tcPr>
          <w:p w14:paraId="65A64441" w14:textId="77777777" w:rsidR="00256BA5" w:rsidRDefault="00000000">
            <w:r>
              <w:t>0.677–0.835</w:t>
            </w:r>
          </w:p>
        </w:tc>
        <w:tc>
          <w:tcPr>
            <w:tcW w:w="2126" w:type="dxa"/>
            <w:vAlign w:val="center"/>
          </w:tcPr>
          <w:p w14:paraId="369571AB" w14:textId="77777777" w:rsidR="00256BA5" w:rsidRDefault="00000000">
            <w:r>
              <w:t>&lt;0.001</w:t>
            </w:r>
          </w:p>
        </w:tc>
      </w:tr>
      <w:tr w:rsidR="00256BA5" w14:paraId="24507559" w14:textId="77777777">
        <w:trPr>
          <w:jc w:val="center"/>
        </w:trPr>
        <w:tc>
          <w:tcPr>
            <w:tcW w:w="2126" w:type="dxa"/>
            <w:vAlign w:val="center"/>
          </w:tcPr>
          <w:p w14:paraId="29946331" w14:textId="77777777" w:rsidR="00256BA5" w:rsidRDefault="00000000">
            <w:r>
              <w:t>Sex</w:t>
            </w:r>
          </w:p>
        </w:tc>
        <w:tc>
          <w:tcPr>
            <w:tcW w:w="2126" w:type="dxa"/>
            <w:vAlign w:val="center"/>
          </w:tcPr>
          <w:p w14:paraId="3CAE1C47" w14:textId="77777777" w:rsidR="00256BA5" w:rsidRDefault="00000000">
            <w:r>
              <w:t>3.077</w:t>
            </w:r>
          </w:p>
        </w:tc>
        <w:tc>
          <w:tcPr>
            <w:tcW w:w="2126" w:type="dxa"/>
            <w:vAlign w:val="center"/>
          </w:tcPr>
          <w:p w14:paraId="7E7FA296" w14:textId="77777777" w:rsidR="00256BA5" w:rsidRDefault="00000000">
            <w:r>
              <w:t>1.020–9.283</w:t>
            </w:r>
          </w:p>
        </w:tc>
        <w:tc>
          <w:tcPr>
            <w:tcW w:w="2126" w:type="dxa"/>
            <w:vAlign w:val="center"/>
          </w:tcPr>
          <w:p w14:paraId="018D49AF" w14:textId="77777777" w:rsidR="00256BA5" w:rsidRDefault="00000000">
            <w:r>
              <w:t>0.046</w:t>
            </w:r>
          </w:p>
        </w:tc>
      </w:tr>
    </w:tbl>
    <w:p w14:paraId="3DB2A8B5" w14:textId="77777777" w:rsidR="00256BA5" w:rsidRDefault="00000000" w:rsidP="00F87D50">
      <w:pPr>
        <w:jc w:val="both"/>
      </w:pPr>
      <w:r>
        <w:t>Adjusted ORs were estimated using multivariable logistic regression. Outcome coding: non-diabetic=0 and T2DM=1. Genotype coding: GG=0 and GT=1. Sex coding: female=0 and male=1. Abbreviations: T2DM, type 2 diabetes mellitus; OR, odds ratio; CI, confidence interval; BMI, body mass index.</w:t>
      </w:r>
    </w:p>
    <w:p w14:paraId="077E0471" w14:textId="77777777" w:rsidR="00CC5565" w:rsidRDefault="00CC5565">
      <w:pPr>
        <w:spacing w:before="120"/>
        <w:rPr>
          <w:b/>
        </w:rPr>
      </w:pPr>
    </w:p>
    <w:p w14:paraId="40DED5D6" w14:textId="77777777" w:rsidR="00CC5565" w:rsidRDefault="00CC5565">
      <w:pPr>
        <w:spacing w:before="120"/>
        <w:rPr>
          <w:b/>
        </w:rPr>
      </w:pPr>
    </w:p>
    <w:p w14:paraId="03DA32CE" w14:textId="77777777" w:rsidR="00CC5565" w:rsidRDefault="00CC5565">
      <w:pPr>
        <w:spacing w:before="120"/>
        <w:rPr>
          <w:b/>
        </w:rPr>
      </w:pPr>
    </w:p>
    <w:p w14:paraId="5A1C7A08" w14:textId="77777777" w:rsidR="00CC5565" w:rsidRDefault="00CC5565">
      <w:pPr>
        <w:spacing w:before="120"/>
        <w:rPr>
          <w:b/>
        </w:rPr>
      </w:pPr>
    </w:p>
    <w:p w14:paraId="1A9CC9BE" w14:textId="77777777" w:rsidR="00A1655F" w:rsidRDefault="00A1655F">
      <w:pPr>
        <w:spacing w:before="120"/>
        <w:rPr>
          <w:b/>
        </w:rPr>
      </w:pPr>
    </w:p>
    <w:p w14:paraId="327D88C7" w14:textId="77777777" w:rsidR="00A1655F" w:rsidRDefault="00A1655F">
      <w:pPr>
        <w:spacing w:before="120"/>
        <w:rPr>
          <w:b/>
        </w:rPr>
      </w:pPr>
    </w:p>
    <w:p w14:paraId="1540D9FF" w14:textId="77777777" w:rsidR="00A1655F" w:rsidRDefault="00A1655F">
      <w:pPr>
        <w:spacing w:before="120"/>
        <w:rPr>
          <w:b/>
        </w:rPr>
      </w:pPr>
    </w:p>
    <w:p w14:paraId="055CAB54" w14:textId="77777777" w:rsidR="00A1655F" w:rsidRDefault="00A1655F">
      <w:pPr>
        <w:spacing w:before="120"/>
        <w:rPr>
          <w:b/>
        </w:rPr>
      </w:pPr>
    </w:p>
    <w:p w14:paraId="6853B44A" w14:textId="77777777" w:rsidR="00A1655F" w:rsidRDefault="00A1655F">
      <w:pPr>
        <w:spacing w:before="120"/>
        <w:rPr>
          <w:b/>
        </w:rPr>
      </w:pPr>
    </w:p>
    <w:p w14:paraId="056FA858" w14:textId="77777777" w:rsidR="00A1655F" w:rsidRDefault="00A1655F">
      <w:pPr>
        <w:spacing w:before="120"/>
        <w:rPr>
          <w:b/>
        </w:rPr>
      </w:pPr>
    </w:p>
    <w:p w14:paraId="56C7C7A3" w14:textId="77777777" w:rsidR="00A1655F" w:rsidRDefault="00A1655F">
      <w:pPr>
        <w:spacing w:before="120"/>
        <w:rPr>
          <w:b/>
        </w:rPr>
      </w:pPr>
    </w:p>
    <w:p w14:paraId="09FEF0C6" w14:textId="2799EA8C" w:rsidR="00256BA5" w:rsidRDefault="00000000">
      <w:pPr>
        <w:spacing w:before="120"/>
      </w:pPr>
      <w:r>
        <w:rPr>
          <w:b/>
        </w:rPr>
        <w:lastRenderedPageBreak/>
        <w:t>FIGURE LEGENDS</w:t>
      </w:r>
    </w:p>
    <w:p w14:paraId="1467A2F7" w14:textId="77777777" w:rsidR="00256BA5" w:rsidRDefault="00000000" w:rsidP="00CC5565">
      <w:pPr>
        <w:jc w:val="both"/>
      </w:pPr>
      <w:r>
        <w:t>Fig. 1. Representative Sanger sequencing chromatograms for rs12255372: (A) GG genotype, showing a single guanine peak at the polymorphic locus; and (B) GT genotype, showing overlapping guanine and thymine peaks.</w:t>
      </w:r>
    </w:p>
    <w:sectPr w:rsidR="00256BA5">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AC63" w14:textId="77777777" w:rsidR="00330024" w:rsidRDefault="00330024">
      <w:pPr>
        <w:spacing w:line="240" w:lineRule="auto"/>
      </w:pPr>
      <w:r>
        <w:separator/>
      </w:r>
    </w:p>
  </w:endnote>
  <w:endnote w:type="continuationSeparator" w:id="0">
    <w:p w14:paraId="312EC5A0" w14:textId="77777777" w:rsidR="00330024" w:rsidRDefault="00330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AD8E" w14:textId="77777777" w:rsidR="00330024" w:rsidRDefault="00330024">
      <w:pPr>
        <w:spacing w:line="240" w:lineRule="auto"/>
      </w:pPr>
      <w:r>
        <w:separator/>
      </w:r>
    </w:p>
  </w:footnote>
  <w:footnote w:type="continuationSeparator" w:id="0">
    <w:p w14:paraId="7FC5E097" w14:textId="77777777" w:rsidR="00330024" w:rsidRDefault="003300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131B5"/>
    <w:multiLevelType w:val="hybridMultilevel"/>
    <w:tmpl w:val="3F0295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040080">
    <w:abstractNumId w:val="8"/>
  </w:num>
  <w:num w:numId="2" w16cid:durableId="147480766">
    <w:abstractNumId w:val="6"/>
  </w:num>
  <w:num w:numId="3" w16cid:durableId="1985695050">
    <w:abstractNumId w:val="5"/>
  </w:num>
  <w:num w:numId="4" w16cid:durableId="1716538668">
    <w:abstractNumId w:val="4"/>
  </w:num>
  <w:num w:numId="5" w16cid:durableId="370501880">
    <w:abstractNumId w:val="7"/>
  </w:num>
  <w:num w:numId="6" w16cid:durableId="43023673">
    <w:abstractNumId w:val="3"/>
  </w:num>
  <w:num w:numId="7" w16cid:durableId="1450588887">
    <w:abstractNumId w:val="2"/>
  </w:num>
  <w:num w:numId="8" w16cid:durableId="1517111952">
    <w:abstractNumId w:val="1"/>
  </w:num>
  <w:num w:numId="9" w16cid:durableId="1686665002">
    <w:abstractNumId w:val="0"/>
  </w:num>
  <w:num w:numId="10" w16cid:durableId="1427074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B1"/>
    <w:rsid w:val="00034616"/>
    <w:rsid w:val="0006063C"/>
    <w:rsid w:val="00083DED"/>
    <w:rsid w:val="000A1651"/>
    <w:rsid w:val="0015074B"/>
    <w:rsid w:val="00256BA5"/>
    <w:rsid w:val="0029639D"/>
    <w:rsid w:val="002D15AB"/>
    <w:rsid w:val="003135BF"/>
    <w:rsid w:val="00326F90"/>
    <w:rsid w:val="00330024"/>
    <w:rsid w:val="003319B0"/>
    <w:rsid w:val="003368BB"/>
    <w:rsid w:val="004379C0"/>
    <w:rsid w:val="00442E71"/>
    <w:rsid w:val="0044455F"/>
    <w:rsid w:val="007C3621"/>
    <w:rsid w:val="007E509B"/>
    <w:rsid w:val="008363DA"/>
    <w:rsid w:val="009C3D47"/>
    <w:rsid w:val="009F745C"/>
    <w:rsid w:val="00A1472F"/>
    <w:rsid w:val="00A1655F"/>
    <w:rsid w:val="00AA1D8D"/>
    <w:rsid w:val="00B47730"/>
    <w:rsid w:val="00CB0664"/>
    <w:rsid w:val="00CC5565"/>
    <w:rsid w:val="00F87D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A88647"/>
  <w14:defaultImageDpi w14:val="330"/>
  <w15:docId w15:val="{25E5CEE9-B095-4E02-999A-0BD92564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C04F8-42A2-4FC4-98FD-C460F454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MANDIRI SEJAHTERA</cp:lastModifiedBy>
  <cp:revision>3</cp:revision>
  <dcterms:created xsi:type="dcterms:W3CDTF">2026-09-03T09:03:00Z</dcterms:created>
  <dcterms:modified xsi:type="dcterms:W3CDTF">2026-09-18T06:23:00Z</dcterms:modified>
  <cp:category/>
</cp:coreProperties>
</file>