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rFonts w:ascii="Times New Roman" w:hAnsi="Times New Roman"/>
          <w:b/>
          <w:i w:val="0"/>
          <w:sz w:val="24"/>
        </w:rPr>
        <w:t>Table I. Clinical and biochemical characteristics of study participants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Variable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T2DM (n=111)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Non-diabetic (n=60)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T1DM (n=10)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P value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Age (years)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40.3 ± 6.73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31.5 ± 7.18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24.8 ± 6.05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Sex (male/female)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23/88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4/56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2/8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0.001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BMI (kg/m²)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23.2 ± 1.40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23.6 ± 1.69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22.7 ± 1.83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0.008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Fasting glucose (mmol/L)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8.82 (7.88–10.71)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4.83 (4.55–5.05)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11.04 (10.55–11.66)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HbA1c, mmol/mol (%)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73.0 ± 18.4 (8.83 ± 1.68)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32.2 ± 1.9 (5.10 ± 0.17)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68.3 ± 12.5 (8.40 ± 1.14)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Insulin (mIU/L)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9.8 ± 10.40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7.36 ± 1.38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2.0 ± 0.27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C-peptide (nmol/L)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0.72 (0.53–0.84)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0.77 (0.55–0.84)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0.10 (0.07–0.10)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HOMA-IR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3.5 (2.8–3.9)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1.5 (1.3–1.7)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1.0 (0.9–1.1)</w:t>
            </w:r>
          </w:p>
        </w:tc>
        <w:tc>
          <w:tcPr>
            <w:tcW w:type="dxa" w:w="1805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&lt;0.001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Data are mean ± standard deviation, median (interquartile range), or counts. P values were calculated using one-way analysis of variance for normally distributed continuous variables, the Kruskal-Wallis test for non-normally distributed continuous variables, and Fisher's exact test for sex. Abbreviations: T2DM, type 2 diabetes mellitus; T1DM, type 1 diabetes mellitus; BMI, body mass index; HbA1c, glycated hemoglobin; HOMA-IR, homeostasis model assessment of insulin resistance.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